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E2658" w14:textId="5A3D44BA" w:rsidR="00B86D59" w:rsidRDefault="00C52367" w:rsidP="00B86D5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jc w:val="center"/>
        <w:rPr>
          <w:rFonts w:ascii="PT Astra Serif" w:eastAsia="Calibri" w:hAnsi="PT Astra Serif" w:cs="Times New Roman"/>
          <w:b/>
          <w:sz w:val="28"/>
          <w:szCs w:val="28"/>
        </w:rPr>
      </w:pPr>
      <w:r w:rsidRPr="00B86D59">
        <w:rPr>
          <w:rFonts w:ascii="PT Astra Serif" w:eastAsia="Calibri" w:hAnsi="PT Astra Serif" w:cs="Times New Roman"/>
          <w:b/>
          <w:sz w:val="28"/>
          <w:szCs w:val="28"/>
        </w:rPr>
        <w:t>Информационная справка по вопросу</w:t>
      </w:r>
    </w:p>
    <w:p w14:paraId="00A66EBF" w14:textId="5DEDAB92" w:rsidR="00C52367" w:rsidRPr="00B86D59" w:rsidRDefault="00C52367" w:rsidP="00B86D5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12" w:line="276" w:lineRule="auto"/>
        <w:jc w:val="center"/>
        <w:rPr>
          <w:rFonts w:ascii="PT Astra Serif" w:eastAsia="Calibri" w:hAnsi="PT Astra Serif" w:cs="Times New Roman"/>
          <w:b/>
          <w:color w:val="000000"/>
          <w:sz w:val="28"/>
          <w:szCs w:val="28"/>
        </w:rPr>
      </w:pPr>
      <w:r w:rsidRPr="00B86D59">
        <w:rPr>
          <w:rFonts w:ascii="PT Astra Serif" w:eastAsia="Calibri" w:hAnsi="PT Astra Serif" w:cs="Times New Roman"/>
          <w:b/>
          <w:color w:val="000000"/>
          <w:sz w:val="28"/>
          <w:szCs w:val="28"/>
        </w:rPr>
        <w:t>«</w:t>
      </w:r>
      <w:r w:rsidR="00A360FE" w:rsidRPr="00B86D59">
        <w:rPr>
          <w:rFonts w:ascii="PT Astra Serif" w:eastAsia="Calibri" w:hAnsi="PT Astra Serif" w:cs="Times New Roman"/>
          <w:b/>
          <w:color w:val="000000"/>
          <w:sz w:val="28"/>
          <w:szCs w:val="28"/>
        </w:rPr>
        <w:t>О</w:t>
      </w:r>
      <w:r w:rsidR="00240594">
        <w:rPr>
          <w:rFonts w:ascii="PT Astra Serif" w:eastAsia="Calibri" w:hAnsi="PT Astra Serif" w:cs="Times New Roman"/>
          <w:b/>
          <w:color w:val="000000"/>
          <w:sz w:val="28"/>
          <w:szCs w:val="28"/>
        </w:rPr>
        <w:t xml:space="preserve"> результатах </w:t>
      </w:r>
      <w:r w:rsidRPr="00B86D59">
        <w:rPr>
          <w:rFonts w:ascii="PT Astra Serif" w:eastAsia="Calibri" w:hAnsi="PT Astra Serif" w:cs="Times New Roman"/>
          <w:b/>
          <w:color w:val="000000"/>
          <w:sz w:val="28"/>
          <w:szCs w:val="28"/>
        </w:rPr>
        <w:t>деятельности</w:t>
      </w:r>
      <w:r w:rsidR="00B86D59">
        <w:rPr>
          <w:rFonts w:ascii="PT Astra Serif" w:eastAsia="Calibri" w:hAnsi="PT Astra Serif" w:cs="Times New Roman"/>
          <w:b/>
          <w:color w:val="000000"/>
          <w:sz w:val="28"/>
          <w:szCs w:val="28"/>
        </w:rPr>
        <w:t xml:space="preserve"> </w:t>
      </w:r>
      <w:r w:rsidR="00B86D59" w:rsidRPr="00B86D59">
        <w:rPr>
          <w:rFonts w:ascii="PT Astra Serif" w:eastAsia="Calibri" w:hAnsi="PT Astra Serif" w:cs="Times New Roman"/>
          <w:b/>
          <w:color w:val="231F20"/>
          <w:sz w:val="28"/>
          <w:szCs w:val="28"/>
        </w:rPr>
        <w:t>Фонд</w:t>
      </w:r>
      <w:r w:rsidR="00240594">
        <w:rPr>
          <w:rFonts w:ascii="PT Astra Serif" w:eastAsia="Calibri" w:hAnsi="PT Astra Serif" w:cs="Times New Roman"/>
          <w:b/>
          <w:color w:val="231F20"/>
          <w:sz w:val="28"/>
          <w:szCs w:val="28"/>
        </w:rPr>
        <w:t>а</w:t>
      </w:r>
      <w:r w:rsidR="00B86D59" w:rsidRPr="00B86D59">
        <w:rPr>
          <w:rFonts w:ascii="PT Astra Serif" w:eastAsia="Calibri" w:hAnsi="PT Astra Serif" w:cs="Times New Roman"/>
          <w:b/>
          <w:color w:val="231F20"/>
          <w:sz w:val="28"/>
          <w:szCs w:val="28"/>
        </w:rPr>
        <w:t xml:space="preserve"> развития Югры</w:t>
      </w:r>
      <w:r w:rsidR="00B86D59">
        <w:rPr>
          <w:rFonts w:ascii="PT Astra Serif" w:eastAsia="Calibri" w:hAnsi="PT Astra Serif" w:cs="Times New Roman"/>
          <w:b/>
          <w:color w:val="231F20"/>
          <w:sz w:val="28"/>
          <w:szCs w:val="28"/>
        </w:rPr>
        <w:t xml:space="preserve"> </w:t>
      </w:r>
      <w:r w:rsidR="008549EB" w:rsidRPr="00B86D59">
        <w:rPr>
          <w:rFonts w:ascii="PT Astra Serif" w:eastAsia="Calibri" w:hAnsi="PT Astra Serif" w:cs="Times New Roman"/>
          <w:b/>
          <w:color w:val="000000"/>
          <w:sz w:val="28"/>
          <w:szCs w:val="28"/>
        </w:rPr>
        <w:t>за 20</w:t>
      </w:r>
      <w:r w:rsidR="00690E4B" w:rsidRPr="00B86D59">
        <w:rPr>
          <w:rFonts w:ascii="PT Astra Serif" w:eastAsia="Calibri" w:hAnsi="PT Astra Serif" w:cs="Times New Roman"/>
          <w:b/>
          <w:color w:val="000000"/>
          <w:sz w:val="28"/>
          <w:szCs w:val="28"/>
        </w:rPr>
        <w:t>2</w:t>
      </w:r>
      <w:r w:rsidR="00E848F9">
        <w:rPr>
          <w:rFonts w:ascii="PT Astra Serif" w:eastAsia="Calibri" w:hAnsi="PT Astra Serif" w:cs="Times New Roman"/>
          <w:b/>
          <w:color w:val="000000"/>
          <w:sz w:val="28"/>
          <w:szCs w:val="28"/>
        </w:rPr>
        <w:t>2</w:t>
      </w:r>
      <w:r w:rsidRPr="00B86D59">
        <w:rPr>
          <w:rFonts w:ascii="PT Astra Serif" w:eastAsia="Calibri" w:hAnsi="PT Astra Serif" w:cs="Times New Roman"/>
          <w:b/>
          <w:color w:val="000000"/>
          <w:sz w:val="28"/>
          <w:szCs w:val="28"/>
        </w:rPr>
        <w:t xml:space="preserve"> год</w:t>
      </w:r>
      <w:r w:rsidR="00A360FE" w:rsidRPr="00B86D59">
        <w:rPr>
          <w:rFonts w:ascii="PT Astra Serif" w:eastAsia="Calibri" w:hAnsi="PT Astra Serif" w:cs="Times New Roman"/>
          <w:b/>
          <w:color w:val="000000"/>
          <w:sz w:val="28"/>
          <w:szCs w:val="28"/>
        </w:rPr>
        <w:t>»</w:t>
      </w:r>
    </w:p>
    <w:p w14:paraId="272596DF" w14:textId="40B4910A" w:rsidR="00655350" w:rsidRPr="00B86D59" w:rsidRDefault="00655350" w:rsidP="00D05BEC">
      <w:pPr>
        <w:spacing w:after="12" w:line="276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530E5DDD" w14:textId="798D5992" w:rsidR="00F743D4" w:rsidRPr="00B86D59" w:rsidRDefault="00F743D4" w:rsidP="00DA2978">
      <w:pPr>
        <w:spacing w:after="0" w:line="360" w:lineRule="auto"/>
        <w:ind w:firstLine="709"/>
        <w:rPr>
          <w:rFonts w:ascii="PT Astra Serif" w:hAnsi="PT Astra Serif" w:cs="Times New Roman"/>
          <w:b/>
          <w:sz w:val="28"/>
          <w:szCs w:val="28"/>
        </w:rPr>
      </w:pPr>
      <w:r w:rsidRPr="00B86D59">
        <w:rPr>
          <w:rFonts w:ascii="PT Astra Serif" w:hAnsi="PT Astra Serif" w:cs="Times New Roman"/>
          <w:b/>
          <w:sz w:val="28"/>
          <w:szCs w:val="28"/>
        </w:rPr>
        <w:t>Основные направления деятельности</w:t>
      </w:r>
      <w:r w:rsidR="00240594">
        <w:rPr>
          <w:rFonts w:ascii="PT Astra Serif" w:hAnsi="PT Astra Serif" w:cs="Times New Roman"/>
          <w:b/>
          <w:sz w:val="28"/>
          <w:szCs w:val="28"/>
        </w:rPr>
        <w:t xml:space="preserve"> (компетенции) Фонда</w:t>
      </w:r>
      <w:r w:rsidR="004219F7" w:rsidRPr="00B86D59">
        <w:rPr>
          <w:rFonts w:ascii="PT Astra Serif" w:hAnsi="PT Astra Serif" w:cs="Times New Roman"/>
          <w:b/>
          <w:sz w:val="28"/>
          <w:szCs w:val="28"/>
        </w:rPr>
        <w:t>:</w:t>
      </w:r>
      <w:r w:rsidRPr="00B86D59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14:paraId="01E0B569" w14:textId="77777777" w:rsidR="00BA17C5" w:rsidRPr="00BA17C5" w:rsidRDefault="00BA17C5" w:rsidP="007F53DD">
      <w:pPr>
        <w:pStyle w:val="a3"/>
        <w:numPr>
          <w:ilvl w:val="0"/>
          <w:numId w:val="2"/>
        </w:numPr>
        <w:spacing w:after="0" w:line="360" w:lineRule="auto"/>
        <w:ind w:firstLine="414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A17C5">
        <w:rPr>
          <w:rFonts w:ascii="PT Astra Serif" w:hAnsi="PT Astra Serif" w:cs="Times New Roman"/>
          <w:bCs/>
          <w:sz w:val="28"/>
          <w:szCs w:val="28"/>
        </w:rPr>
        <w:t>Реализация промышленной политики автономного округа. Сопровождения инвестиционных проектов;</w:t>
      </w:r>
    </w:p>
    <w:p w14:paraId="7375B0BA" w14:textId="10121992" w:rsidR="00BA17C5" w:rsidRPr="00BA17C5" w:rsidRDefault="00BA17C5" w:rsidP="007F53DD">
      <w:pPr>
        <w:pStyle w:val="a3"/>
        <w:numPr>
          <w:ilvl w:val="0"/>
          <w:numId w:val="2"/>
        </w:numPr>
        <w:spacing w:after="0" w:line="360" w:lineRule="auto"/>
        <w:ind w:firstLine="414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A17C5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Pr="00BA17C5">
        <w:rPr>
          <w:rFonts w:ascii="Times New Roman" w:hAnsi="Times New Roman"/>
          <w:bCs/>
          <w:iCs/>
          <w:sz w:val="28"/>
          <w:szCs w:val="28"/>
        </w:rPr>
        <w:t>Создание инфраструктурных объектов на принципах государственно-частного партнерства и иная деятельность Центра государственно-частного партнерства;</w:t>
      </w:r>
    </w:p>
    <w:p w14:paraId="216BB0DC" w14:textId="168041A1" w:rsidR="00BA17C5" w:rsidRPr="00BA17C5" w:rsidRDefault="00BA17C5" w:rsidP="007F53DD">
      <w:pPr>
        <w:pStyle w:val="a3"/>
        <w:numPr>
          <w:ilvl w:val="0"/>
          <w:numId w:val="2"/>
        </w:numPr>
        <w:spacing w:after="0" w:line="360" w:lineRule="auto"/>
        <w:ind w:firstLine="414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A17C5">
        <w:rPr>
          <w:rFonts w:ascii="PT Astra Serif" w:hAnsi="PT Astra Serif" w:cs="Times New Roman"/>
          <w:bCs/>
          <w:sz w:val="28"/>
          <w:szCs w:val="28"/>
        </w:rPr>
        <w:t>Региональный фонд развития промышленности;</w:t>
      </w:r>
    </w:p>
    <w:p w14:paraId="083BB8A2" w14:textId="07B34A4B" w:rsidR="00BA17C5" w:rsidRPr="00BA17C5" w:rsidRDefault="00BA17C5" w:rsidP="007F53DD">
      <w:pPr>
        <w:pStyle w:val="a3"/>
        <w:numPr>
          <w:ilvl w:val="0"/>
          <w:numId w:val="2"/>
        </w:numPr>
        <w:spacing w:after="12" w:line="360" w:lineRule="auto"/>
        <w:ind w:firstLine="414"/>
        <w:jc w:val="both"/>
        <w:rPr>
          <w:rFonts w:ascii="PT Astra Serif" w:hAnsi="PT Astra Serif"/>
          <w:bCs/>
          <w:iCs/>
          <w:sz w:val="28"/>
          <w:szCs w:val="28"/>
        </w:rPr>
      </w:pPr>
      <w:r w:rsidRPr="00BA17C5">
        <w:rPr>
          <w:rFonts w:ascii="PT Astra Serif" w:hAnsi="PT Astra Serif"/>
          <w:bCs/>
          <w:iCs/>
          <w:sz w:val="28"/>
          <w:szCs w:val="28"/>
        </w:rPr>
        <w:t>Инвестиционное продвижение автономного округа, взаимодействие со СМИ;</w:t>
      </w:r>
    </w:p>
    <w:p w14:paraId="0435DEB7" w14:textId="6111026C" w:rsidR="00BA17C5" w:rsidRPr="00BA17C5" w:rsidRDefault="00BA17C5" w:rsidP="007F53DD">
      <w:pPr>
        <w:pStyle w:val="a3"/>
        <w:numPr>
          <w:ilvl w:val="0"/>
          <w:numId w:val="2"/>
        </w:numPr>
        <w:spacing w:after="12" w:line="360" w:lineRule="auto"/>
        <w:ind w:firstLine="414"/>
        <w:jc w:val="both"/>
        <w:rPr>
          <w:rFonts w:ascii="PT Astra Serif" w:hAnsi="PT Astra Serif"/>
          <w:bCs/>
          <w:iCs/>
          <w:sz w:val="28"/>
          <w:szCs w:val="28"/>
        </w:rPr>
      </w:pPr>
      <w:r w:rsidRPr="00BA17C5">
        <w:rPr>
          <w:rFonts w:ascii="PT Astra Serif" w:hAnsi="PT Astra Serif" w:cs="Times New Roman"/>
          <w:bCs/>
          <w:sz w:val="28"/>
          <w:szCs w:val="28"/>
        </w:rPr>
        <w:t>Центр компетенции в сфере туризма;</w:t>
      </w:r>
    </w:p>
    <w:p w14:paraId="6496DD12" w14:textId="3A9F9955" w:rsidR="00BA17C5" w:rsidRPr="00BA17C5" w:rsidRDefault="00BA17C5" w:rsidP="007F53DD">
      <w:pPr>
        <w:pStyle w:val="a3"/>
        <w:numPr>
          <w:ilvl w:val="0"/>
          <w:numId w:val="2"/>
        </w:numPr>
        <w:spacing w:after="12" w:line="360" w:lineRule="auto"/>
        <w:ind w:firstLine="414"/>
        <w:jc w:val="both"/>
        <w:rPr>
          <w:rFonts w:ascii="PT Astra Serif" w:hAnsi="PT Astra Serif"/>
          <w:bCs/>
          <w:iCs/>
          <w:sz w:val="28"/>
          <w:szCs w:val="28"/>
        </w:rPr>
      </w:pPr>
      <w:r w:rsidRPr="00BA17C5">
        <w:rPr>
          <w:rFonts w:ascii="Times New Roman" w:hAnsi="Times New Roman"/>
          <w:bCs/>
          <w:sz w:val="28"/>
          <w:szCs w:val="28"/>
        </w:rPr>
        <w:t>Развитие сельскохозяйственной кооперации и поддержка фермеров;</w:t>
      </w:r>
    </w:p>
    <w:p w14:paraId="0DE1AF43" w14:textId="58EADF4B" w:rsidR="00A72186" w:rsidRPr="00BA17C5" w:rsidRDefault="008314E8" w:rsidP="007F53DD">
      <w:pPr>
        <w:pStyle w:val="a3"/>
        <w:numPr>
          <w:ilvl w:val="0"/>
          <w:numId w:val="2"/>
        </w:numPr>
        <w:spacing w:after="12" w:line="360" w:lineRule="auto"/>
        <w:ind w:firstLine="414"/>
        <w:jc w:val="both"/>
        <w:rPr>
          <w:rFonts w:ascii="PT Astra Serif" w:hAnsi="PT Astra Serif"/>
          <w:b/>
          <w:bCs/>
          <w:iCs/>
          <w:sz w:val="28"/>
          <w:szCs w:val="28"/>
        </w:rPr>
      </w:pPr>
      <w:r w:rsidRPr="00BA17C5">
        <w:rPr>
          <w:rFonts w:ascii="PT Astra Serif" w:hAnsi="PT Astra Serif" w:cs="Times New Roman"/>
          <w:sz w:val="28"/>
          <w:szCs w:val="28"/>
        </w:rPr>
        <w:t>Центр обучения и развития</w:t>
      </w:r>
      <w:r w:rsidR="008843D2" w:rsidRPr="00BA17C5">
        <w:rPr>
          <w:rFonts w:ascii="PT Astra Serif" w:hAnsi="PT Astra Serif" w:cs="Times New Roman"/>
          <w:sz w:val="28"/>
          <w:szCs w:val="28"/>
        </w:rPr>
        <w:t>.</w:t>
      </w:r>
    </w:p>
    <w:p w14:paraId="4585263A" w14:textId="77777777" w:rsidR="008843D2" w:rsidRPr="008843D2" w:rsidRDefault="008843D2" w:rsidP="008843D2">
      <w:pPr>
        <w:pStyle w:val="a3"/>
        <w:tabs>
          <w:tab w:val="left" w:pos="1134"/>
        </w:tabs>
        <w:spacing w:after="0" w:line="360" w:lineRule="auto"/>
        <w:ind w:left="709"/>
        <w:jc w:val="both"/>
        <w:rPr>
          <w:rFonts w:ascii="PT Astra Serif" w:hAnsi="PT Astra Serif" w:cs="Times New Roman"/>
          <w:sz w:val="28"/>
          <w:szCs w:val="28"/>
        </w:rPr>
      </w:pPr>
    </w:p>
    <w:p w14:paraId="504E1F40" w14:textId="4A8BD2D6" w:rsidR="00240594" w:rsidRDefault="00535310" w:rsidP="00240594">
      <w:pPr>
        <w:spacing w:after="0" w:line="36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Реализация промышленной политики автономного округа.</w:t>
      </w:r>
      <w:r w:rsidR="00240594">
        <w:rPr>
          <w:rFonts w:ascii="PT Astra Serif" w:hAnsi="PT Astra Serif" w:cs="Times New Roman"/>
          <w:b/>
          <w:sz w:val="28"/>
          <w:szCs w:val="28"/>
        </w:rPr>
        <w:t xml:space="preserve"> </w:t>
      </w:r>
      <w:r>
        <w:rPr>
          <w:rFonts w:ascii="PT Astra Serif" w:hAnsi="PT Astra Serif" w:cs="Times New Roman"/>
          <w:b/>
          <w:sz w:val="28"/>
          <w:szCs w:val="28"/>
        </w:rPr>
        <w:t>С</w:t>
      </w:r>
      <w:r w:rsidR="00240594">
        <w:rPr>
          <w:rFonts w:ascii="PT Astra Serif" w:hAnsi="PT Astra Serif" w:cs="Times New Roman"/>
          <w:b/>
          <w:sz w:val="28"/>
          <w:szCs w:val="28"/>
        </w:rPr>
        <w:t>опровождени</w:t>
      </w:r>
      <w:r w:rsidR="00870B63">
        <w:rPr>
          <w:rFonts w:ascii="PT Astra Serif" w:hAnsi="PT Astra Serif" w:cs="Times New Roman"/>
          <w:b/>
          <w:sz w:val="28"/>
          <w:szCs w:val="28"/>
        </w:rPr>
        <w:t>е</w:t>
      </w:r>
      <w:r w:rsidR="00240594">
        <w:rPr>
          <w:rFonts w:ascii="PT Astra Serif" w:hAnsi="PT Astra Serif" w:cs="Times New Roman"/>
          <w:b/>
          <w:sz w:val="28"/>
          <w:szCs w:val="28"/>
        </w:rPr>
        <w:t xml:space="preserve"> инвестиционных проектов. </w:t>
      </w:r>
    </w:p>
    <w:p w14:paraId="79BF97C0" w14:textId="5789F7AB" w:rsidR="00876226" w:rsidRPr="00240594" w:rsidRDefault="003654C7" w:rsidP="00240594">
      <w:pPr>
        <w:spacing w:after="0" w:line="36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3654C7">
        <w:rPr>
          <w:rFonts w:ascii="PT Astra Serif" w:hAnsi="PT Astra Serif" w:cs="Times New Roman"/>
          <w:sz w:val="28"/>
          <w:szCs w:val="28"/>
        </w:rPr>
        <w:t xml:space="preserve">Всего на сопровождении </w:t>
      </w:r>
      <w:r w:rsidR="00991F1C">
        <w:rPr>
          <w:rFonts w:ascii="PT Astra Serif" w:hAnsi="PT Astra Serif" w:cs="Times New Roman"/>
          <w:sz w:val="28"/>
          <w:szCs w:val="28"/>
        </w:rPr>
        <w:t>26</w:t>
      </w:r>
      <w:r w:rsidRPr="003654C7">
        <w:rPr>
          <w:rFonts w:ascii="PT Astra Serif" w:hAnsi="PT Astra Serif" w:cs="Times New Roman"/>
          <w:sz w:val="28"/>
          <w:szCs w:val="28"/>
        </w:rPr>
        <w:t xml:space="preserve"> проектов по принципу «одного окна»</w:t>
      </w:r>
      <w:r w:rsidR="00991F1C">
        <w:rPr>
          <w:rFonts w:ascii="PT Astra Serif" w:hAnsi="PT Astra Serif" w:cs="Times New Roman"/>
          <w:sz w:val="28"/>
          <w:szCs w:val="28"/>
        </w:rPr>
        <w:t>, объемом инвестиций 55,9 млрд. рублей</w:t>
      </w:r>
      <w:r w:rsidRPr="003654C7">
        <w:rPr>
          <w:rFonts w:ascii="PT Astra Serif" w:hAnsi="PT Astra Serif" w:cs="Times New Roman"/>
          <w:sz w:val="28"/>
          <w:szCs w:val="28"/>
        </w:rPr>
        <w:t>. В 202</w:t>
      </w:r>
      <w:r w:rsidR="00991F1C">
        <w:rPr>
          <w:rFonts w:ascii="PT Astra Serif" w:hAnsi="PT Astra Serif" w:cs="Times New Roman"/>
          <w:sz w:val="28"/>
          <w:szCs w:val="28"/>
        </w:rPr>
        <w:t>2</w:t>
      </w:r>
      <w:r w:rsidRPr="003654C7">
        <w:rPr>
          <w:rFonts w:ascii="PT Astra Serif" w:hAnsi="PT Astra Serif" w:cs="Times New Roman"/>
          <w:sz w:val="28"/>
          <w:szCs w:val="28"/>
        </w:rPr>
        <w:t xml:space="preserve"> году з</w:t>
      </w:r>
      <w:r w:rsidR="00876226" w:rsidRPr="003654C7">
        <w:rPr>
          <w:rFonts w:ascii="PT Astra Serif" w:hAnsi="PT Astra Serif" w:cs="Times New Roman"/>
          <w:sz w:val="28"/>
          <w:szCs w:val="28"/>
        </w:rPr>
        <w:t>аключен</w:t>
      </w:r>
      <w:r w:rsidR="00D84812">
        <w:rPr>
          <w:rFonts w:ascii="PT Astra Serif" w:hAnsi="PT Astra Serif" w:cs="Times New Roman"/>
          <w:sz w:val="28"/>
          <w:szCs w:val="28"/>
        </w:rPr>
        <w:t>ы</w:t>
      </w:r>
      <w:r w:rsidR="00876226" w:rsidRPr="003654C7">
        <w:rPr>
          <w:rFonts w:ascii="PT Astra Serif" w:hAnsi="PT Astra Serif" w:cs="Times New Roman"/>
          <w:sz w:val="28"/>
          <w:szCs w:val="28"/>
        </w:rPr>
        <w:t xml:space="preserve"> </w:t>
      </w:r>
      <w:r w:rsidR="00991F1C">
        <w:rPr>
          <w:rFonts w:ascii="PT Astra Serif" w:hAnsi="PT Astra Serif" w:cs="Times New Roman"/>
          <w:sz w:val="28"/>
          <w:szCs w:val="28"/>
        </w:rPr>
        <w:t>4</w:t>
      </w:r>
      <w:r w:rsidR="00876226" w:rsidRPr="003654C7">
        <w:rPr>
          <w:rFonts w:ascii="PT Astra Serif" w:hAnsi="PT Astra Serif" w:cs="Times New Roman"/>
          <w:sz w:val="28"/>
          <w:szCs w:val="28"/>
        </w:rPr>
        <w:t xml:space="preserve"> соглашени</w:t>
      </w:r>
      <w:r w:rsidR="008314E8" w:rsidRPr="003654C7">
        <w:rPr>
          <w:rFonts w:ascii="PT Astra Serif" w:hAnsi="PT Astra Serif" w:cs="Times New Roman"/>
          <w:sz w:val="28"/>
          <w:szCs w:val="28"/>
        </w:rPr>
        <w:t>я</w:t>
      </w:r>
      <w:r w:rsidRPr="003654C7">
        <w:rPr>
          <w:rFonts w:ascii="PT Astra Serif" w:hAnsi="PT Astra Serif" w:cs="Times New Roman"/>
          <w:sz w:val="28"/>
          <w:szCs w:val="28"/>
        </w:rPr>
        <w:t>.</w:t>
      </w:r>
      <w:r w:rsidR="00876226" w:rsidRPr="003654C7">
        <w:rPr>
          <w:rFonts w:ascii="PT Astra Serif" w:hAnsi="PT Astra Serif" w:cs="Times New Roman"/>
          <w:sz w:val="28"/>
          <w:szCs w:val="28"/>
        </w:rPr>
        <w:t xml:space="preserve"> </w:t>
      </w:r>
    </w:p>
    <w:p w14:paraId="19CAF272" w14:textId="5E2BF645" w:rsidR="00D84812" w:rsidRDefault="003654C7" w:rsidP="00022177">
      <w:pPr>
        <w:tabs>
          <w:tab w:val="left" w:pos="709"/>
        </w:tabs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Pr="00520BB8">
        <w:rPr>
          <w:rFonts w:ascii="PT Astra Serif" w:hAnsi="PT Astra Serif"/>
          <w:sz w:val="28"/>
          <w:szCs w:val="28"/>
        </w:rPr>
        <w:t>На постоянной основе осуществляется информационно-консультационное сопровождение и содействие в реализации инвестиционных проектов посредством телефонных звонков, обращений по электронной почте, рабочих встреч (в том числе в режиме ВКС).</w:t>
      </w:r>
    </w:p>
    <w:p w14:paraId="28C03B1D" w14:textId="09E575B6" w:rsidR="003654C7" w:rsidRPr="003654C7" w:rsidRDefault="00240594" w:rsidP="00D84812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На постоянной основе осуществляется содействие инвесторам в поиске</w:t>
      </w:r>
      <w:r w:rsidR="00DB463E" w:rsidRPr="003654C7">
        <w:rPr>
          <w:rFonts w:ascii="PT Astra Serif" w:hAnsi="PT Astra Serif"/>
          <w:sz w:val="28"/>
          <w:szCs w:val="28"/>
        </w:rPr>
        <w:t xml:space="preserve"> земельн</w:t>
      </w:r>
      <w:r w:rsidR="003654C7" w:rsidRPr="003654C7">
        <w:rPr>
          <w:rFonts w:ascii="PT Astra Serif" w:hAnsi="PT Astra Serif"/>
          <w:sz w:val="28"/>
          <w:szCs w:val="28"/>
        </w:rPr>
        <w:t>ых</w:t>
      </w:r>
      <w:r w:rsidR="00DB463E" w:rsidRPr="003654C7">
        <w:rPr>
          <w:rFonts w:ascii="PT Astra Serif" w:hAnsi="PT Astra Serif"/>
          <w:sz w:val="28"/>
          <w:szCs w:val="28"/>
        </w:rPr>
        <w:t xml:space="preserve"> участк</w:t>
      </w:r>
      <w:r w:rsidR="003654C7" w:rsidRPr="003654C7">
        <w:rPr>
          <w:rFonts w:ascii="PT Astra Serif" w:hAnsi="PT Astra Serif"/>
          <w:sz w:val="28"/>
          <w:szCs w:val="28"/>
        </w:rPr>
        <w:t>ов</w:t>
      </w:r>
      <w:r w:rsidR="00DB463E" w:rsidRPr="003654C7">
        <w:rPr>
          <w:rFonts w:ascii="PT Astra Serif" w:hAnsi="PT Astra Serif"/>
          <w:sz w:val="28"/>
          <w:szCs w:val="28"/>
        </w:rPr>
        <w:t xml:space="preserve"> для</w:t>
      </w:r>
      <w:r w:rsidR="003654C7" w:rsidRPr="003654C7">
        <w:rPr>
          <w:rFonts w:ascii="PT Astra Serif" w:hAnsi="PT Astra Serif"/>
          <w:sz w:val="28"/>
          <w:szCs w:val="28"/>
        </w:rPr>
        <w:t xml:space="preserve"> инвесторов</w:t>
      </w:r>
      <w:r>
        <w:rPr>
          <w:rFonts w:ascii="PT Astra Serif" w:hAnsi="PT Astra Serif"/>
          <w:sz w:val="28"/>
          <w:szCs w:val="28"/>
        </w:rPr>
        <w:t>, планирующих реализацию инвестиционных проектов на территории Югры</w:t>
      </w:r>
      <w:r w:rsidR="003654C7" w:rsidRPr="003654C7">
        <w:rPr>
          <w:rFonts w:ascii="PT Astra Serif" w:hAnsi="PT Astra Serif"/>
          <w:sz w:val="28"/>
          <w:szCs w:val="28"/>
        </w:rPr>
        <w:t>. В 202</w:t>
      </w:r>
      <w:r w:rsidR="00022177">
        <w:rPr>
          <w:rFonts w:ascii="PT Astra Serif" w:hAnsi="PT Astra Serif"/>
          <w:sz w:val="28"/>
          <w:szCs w:val="28"/>
        </w:rPr>
        <w:t>2</w:t>
      </w:r>
      <w:r w:rsidR="003654C7" w:rsidRPr="003654C7">
        <w:rPr>
          <w:rFonts w:ascii="PT Astra Serif" w:hAnsi="PT Astra Serif"/>
          <w:sz w:val="28"/>
          <w:szCs w:val="28"/>
        </w:rPr>
        <w:t xml:space="preserve"> году </w:t>
      </w:r>
      <w:r w:rsidR="003654C7">
        <w:rPr>
          <w:rFonts w:ascii="PT Astra Serif" w:hAnsi="PT Astra Serif"/>
          <w:sz w:val="28"/>
          <w:szCs w:val="28"/>
        </w:rPr>
        <w:t>в рамках</w:t>
      </w:r>
      <w:r w:rsidR="00D84812">
        <w:rPr>
          <w:rFonts w:ascii="PT Astra Serif" w:hAnsi="PT Astra Serif"/>
          <w:sz w:val="28"/>
          <w:szCs w:val="28"/>
        </w:rPr>
        <w:t xml:space="preserve"> реализации</w:t>
      </w:r>
      <w:r w:rsidR="003654C7">
        <w:rPr>
          <w:rFonts w:ascii="PT Astra Serif" w:hAnsi="PT Astra Serif"/>
          <w:sz w:val="28"/>
          <w:szCs w:val="28"/>
        </w:rPr>
        <w:t xml:space="preserve"> проекта</w:t>
      </w:r>
      <w:r w:rsidR="003654C7" w:rsidRPr="003654C7">
        <w:rPr>
          <w:rFonts w:ascii="PT Astra Serif" w:hAnsi="PT Astra Serif"/>
          <w:sz w:val="28"/>
          <w:szCs w:val="28"/>
        </w:rPr>
        <w:t xml:space="preserve"> </w:t>
      </w:r>
      <w:r w:rsidR="00D84812" w:rsidRPr="00520BB8">
        <w:rPr>
          <w:rFonts w:ascii="PT Astra Serif" w:hAnsi="PT Astra Serif"/>
          <w:sz w:val="28"/>
          <w:szCs w:val="28"/>
        </w:rPr>
        <w:t>«</w:t>
      </w:r>
      <w:r w:rsidR="00022177">
        <w:rPr>
          <w:rFonts w:ascii="PT Astra Serif" w:hAnsi="PT Astra Serif"/>
          <w:sz w:val="28"/>
          <w:szCs w:val="28"/>
        </w:rPr>
        <w:t xml:space="preserve">Создание производственного комплекса по выпуску </w:t>
      </w:r>
      <w:r w:rsidR="00022177">
        <w:rPr>
          <w:rFonts w:ascii="PT Astra Serif" w:hAnsi="PT Astra Serif"/>
          <w:sz w:val="28"/>
          <w:szCs w:val="28"/>
        </w:rPr>
        <w:lastRenderedPageBreak/>
        <w:t>фасонного проката мощностью 100 тыс. тонн в год»</w:t>
      </w:r>
      <w:r w:rsidR="00D84812" w:rsidRPr="00520BB8">
        <w:rPr>
          <w:rFonts w:ascii="PT Astra Serif" w:hAnsi="PT Astra Serif"/>
          <w:sz w:val="28"/>
          <w:szCs w:val="28"/>
        </w:rPr>
        <w:t xml:space="preserve"> </w:t>
      </w:r>
      <w:r w:rsidR="00D84812">
        <w:rPr>
          <w:rFonts w:ascii="PT Astra Serif" w:hAnsi="PT Astra Serif"/>
          <w:sz w:val="28"/>
          <w:szCs w:val="28"/>
        </w:rPr>
        <w:t xml:space="preserve">оказано содействие в поиске земельных участков </w:t>
      </w:r>
      <w:r w:rsidR="003654C7" w:rsidRPr="003654C7">
        <w:rPr>
          <w:rFonts w:ascii="PT Astra Serif" w:hAnsi="PT Astra Serif"/>
          <w:sz w:val="28"/>
          <w:szCs w:val="28"/>
        </w:rPr>
        <w:t>в Сургуте</w:t>
      </w:r>
      <w:r w:rsidR="00022177">
        <w:rPr>
          <w:rFonts w:ascii="PT Astra Serif" w:hAnsi="PT Astra Serif"/>
          <w:sz w:val="28"/>
          <w:szCs w:val="28"/>
        </w:rPr>
        <w:t>.</w:t>
      </w:r>
    </w:p>
    <w:p w14:paraId="68997F6F" w14:textId="60B3E018" w:rsidR="003654C7" w:rsidRDefault="00D84812" w:rsidP="003654C7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3654C7" w:rsidRPr="003654C7">
        <w:rPr>
          <w:rFonts w:ascii="PT Astra Serif" w:hAnsi="PT Astra Serif"/>
          <w:sz w:val="28"/>
          <w:szCs w:val="28"/>
        </w:rPr>
        <w:t xml:space="preserve">одписано распоряжение Губернатора Югры о предоставлении </w:t>
      </w:r>
      <w:r w:rsidR="00EA5176">
        <w:rPr>
          <w:rFonts w:ascii="PT Astra Serif" w:hAnsi="PT Astra Serif"/>
          <w:sz w:val="28"/>
          <w:szCs w:val="28"/>
        </w:rPr>
        <w:t xml:space="preserve">земельного </w:t>
      </w:r>
      <w:r w:rsidR="003654C7" w:rsidRPr="003654C7">
        <w:rPr>
          <w:rFonts w:ascii="PT Astra Serif" w:hAnsi="PT Astra Serif"/>
          <w:sz w:val="28"/>
          <w:szCs w:val="28"/>
        </w:rPr>
        <w:t>участка в аренду без проведения торгов в г. Сургуте для реализации проекта «</w:t>
      </w:r>
      <w:r w:rsidR="003654C7" w:rsidRPr="003654C7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Производственный комплекс на выпуск сортового фасонного проката мощностью 100 тыс. тонн в год»</w:t>
      </w:r>
      <w:r w:rsidR="003654C7" w:rsidRPr="003654C7">
        <w:rPr>
          <w:rFonts w:ascii="PT Astra Serif" w:hAnsi="PT Astra Serif"/>
          <w:sz w:val="28"/>
          <w:szCs w:val="28"/>
        </w:rPr>
        <w:t>.</w:t>
      </w:r>
      <w:r w:rsidR="00721CF5">
        <w:rPr>
          <w:rFonts w:ascii="PT Astra Serif" w:hAnsi="PT Astra Serif"/>
          <w:sz w:val="28"/>
          <w:szCs w:val="28"/>
        </w:rPr>
        <w:t xml:space="preserve"> </w:t>
      </w:r>
    </w:p>
    <w:p w14:paraId="71F61F11" w14:textId="01B02637" w:rsidR="00C5363E" w:rsidRDefault="00D84812" w:rsidP="00D84812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="00022177">
        <w:rPr>
          <w:rFonts w:ascii="PT Astra Serif" w:hAnsi="PT Astra Serif"/>
          <w:sz w:val="28"/>
          <w:szCs w:val="28"/>
        </w:rPr>
        <w:t>Индустриальный парк</w:t>
      </w:r>
      <w:r w:rsidR="00C5363E" w:rsidRPr="003654C7">
        <w:rPr>
          <w:rFonts w:ascii="PT Astra Serif" w:hAnsi="PT Astra Serif"/>
          <w:sz w:val="28"/>
          <w:szCs w:val="28"/>
        </w:rPr>
        <w:t xml:space="preserve"> «</w:t>
      </w:r>
      <w:r w:rsidR="00022177">
        <w:rPr>
          <w:rFonts w:ascii="PT Astra Serif" w:hAnsi="PT Astra Serif"/>
          <w:sz w:val="28"/>
          <w:szCs w:val="28"/>
        </w:rPr>
        <w:t>Кондинский</w:t>
      </w:r>
      <w:r w:rsidR="00C5363E" w:rsidRPr="003654C7">
        <w:rPr>
          <w:rFonts w:ascii="PT Astra Serif" w:hAnsi="PT Astra Serif"/>
          <w:sz w:val="28"/>
          <w:szCs w:val="28"/>
        </w:rPr>
        <w:t>»</w:t>
      </w:r>
      <w:r w:rsidR="00022177">
        <w:rPr>
          <w:rFonts w:ascii="PT Astra Serif" w:hAnsi="PT Astra Serif"/>
          <w:sz w:val="28"/>
          <w:szCs w:val="28"/>
        </w:rPr>
        <w:t xml:space="preserve"> </w:t>
      </w:r>
      <w:r w:rsidR="00C5363E" w:rsidRPr="003654C7">
        <w:rPr>
          <w:rFonts w:ascii="PT Astra Serif" w:hAnsi="PT Astra Serif"/>
          <w:sz w:val="28"/>
          <w:szCs w:val="28"/>
        </w:rPr>
        <w:t>включен в федеральный реестр Промышленных технопарков Минпромторга РФ.</w:t>
      </w:r>
      <w:r w:rsidR="00EA5176">
        <w:rPr>
          <w:rFonts w:ascii="PT Astra Serif" w:hAnsi="PT Astra Serif"/>
          <w:sz w:val="28"/>
          <w:szCs w:val="28"/>
        </w:rPr>
        <w:t xml:space="preserve"> Содействие в структурировании проекта оказано Фондом развития Югры.</w:t>
      </w:r>
    </w:p>
    <w:p w14:paraId="05F6AEE1" w14:textId="26C7C04A" w:rsidR="00D84812" w:rsidRDefault="00D84812" w:rsidP="00D84812">
      <w:pPr>
        <w:tabs>
          <w:tab w:val="left" w:pos="426"/>
          <w:tab w:val="left" w:pos="1134"/>
        </w:tabs>
        <w:spacing w:after="0"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E63577">
        <w:rPr>
          <w:rFonts w:ascii="PT Astra Serif" w:hAnsi="PT Astra Serif"/>
          <w:sz w:val="28"/>
          <w:szCs w:val="28"/>
          <w:shd w:val="clear" w:color="auto" w:fill="FFFFFF"/>
        </w:rPr>
        <w:t xml:space="preserve">Разработана </w:t>
      </w:r>
      <w:r w:rsidR="00721CF5">
        <w:rPr>
          <w:rFonts w:ascii="PT Astra Serif" w:hAnsi="PT Astra Serif"/>
          <w:sz w:val="28"/>
          <w:szCs w:val="28"/>
          <w:shd w:val="clear" w:color="auto" w:fill="FFFFFF"/>
        </w:rPr>
        <w:t>ПСД на инженерное обеспечение индустриального парка «Когалым», осуществляется государственная экспертиза</w:t>
      </w:r>
      <w:r w:rsidRPr="00E63577">
        <w:rPr>
          <w:rFonts w:ascii="PT Astra Serif" w:hAnsi="PT Astra Serif"/>
          <w:sz w:val="28"/>
          <w:szCs w:val="28"/>
          <w:shd w:val="clear" w:color="auto" w:fill="FFFFFF"/>
        </w:rPr>
        <w:t>.</w:t>
      </w:r>
    </w:p>
    <w:p w14:paraId="36156AD9" w14:textId="69032BD9" w:rsidR="00A37C32" w:rsidRPr="00D76A3E" w:rsidRDefault="00721CF5" w:rsidP="00D84812">
      <w:pPr>
        <w:tabs>
          <w:tab w:val="left" w:pos="426"/>
          <w:tab w:val="left" w:pos="1134"/>
        </w:tabs>
        <w:spacing w:after="0"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>
        <w:rPr>
          <w:rFonts w:ascii="PT Astra Serif" w:hAnsi="PT Astra Serif"/>
          <w:sz w:val="28"/>
          <w:szCs w:val="28"/>
          <w:shd w:val="clear" w:color="auto" w:fill="FFFFFF"/>
        </w:rPr>
        <w:t xml:space="preserve">Принято Постановление Правительства РФ №2530 от 30.12.2022г. «О создании особой экономической зоны промышленно-производственного типа «Нягань». Разработана проектная документация по инженерной подготовке части территории ОЭЗ. </w:t>
      </w:r>
    </w:p>
    <w:p w14:paraId="5301C77D" w14:textId="77777777" w:rsidR="003F6AE7" w:rsidRDefault="003F6AE7" w:rsidP="003F6AE7">
      <w:pPr>
        <w:tabs>
          <w:tab w:val="left" w:pos="426"/>
        </w:tabs>
        <w:spacing w:after="12" w:line="36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57F7D1D4" w14:textId="77777777" w:rsidR="00535310" w:rsidRPr="00535310" w:rsidRDefault="00535310" w:rsidP="003F6AE7">
      <w:pPr>
        <w:spacing w:after="12" w:line="36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535310">
        <w:rPr>
          <w:rFonts w:ascii="Times New Roman" w:hAnsi="Times New Roman"/>
          <w:b/>
          <w:bCs/>
          <w:iCs/>
          <w:sz w:val="28"/>
          <w:szCs w:val="28"/>
        </w:rPr>
        <w:t>Создание инфраструктурных объектов на принципах государственно-частного партнерства и иная деятельность Центра государственно-частного партнерства</w:t>
      </w:r>
    </w:p>
    <w:p w14:paraId="58553224" w14:textId="03CCABEC" w:rsidR="003F6AE7" w:rsidRPr="00B86D59" w:rsidRDefault="003F6AE7" w:rsidP="003F6AE7">
      <w:pPr>
        <w:spacing w:after="12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86D59">
        <w:rPr>
          <w:rFonts w:ascii="PT Astra Serif" w:hAnsi="PT Astra Serif" w:cs="Times New Roman"/>
          <w:sz w:val="28"/>
          <w:szCs w:val="28"/>
        </w:rPr>
        <w:t>Всего на сопровождении 2</w:t>
      </w:r>
      <w:r w:rsidR="00721CF5">
        <w:rPr>
          <w:rFonts w:ascii="PT Astra Serif" w:hAnsi="PT Astra Serif" w:cs="Times New Roman"/>
          <w:sz w:val="28"/>
          <w:szCs w:val="28"/>
        </w:rPr>
        <w:t>8</w:t>
      </w:r>
      <w:r w:rsidRPr="00B86D59">
        <w:rPr>
          <w:rFonts w:ascii="PT Astra Serif" w:hAnsi="PT Astra Serif" w:cs="Times New Roman"/>
          <w:sz w:val="28"/>
          <w:szCs w:val="28"/>
        </w:rPr>
        <w:t xml:space="preserve"> проект</w:t>
      </w:r>
      <w:r>
        <w:rPr>
          <w:rFonts w:ascii="PT Astra Serif" w:hAnsi="PT Astra Serif" w:cs="Times New Roman"/>
          <w:sz w:val="28"/>
          <w:szCs w:val="28"/>
        </w:rPr>
        <w:t>ов</w:t>
      </w:r>
      <w:r w:rsidRPr="00B86D59">
        <w:rPr>
          <w:rFonts w:ascii="PT Astra Serif" w:hAnsi="PT Astra Serif" w:cs="Times New Roman"/>
          <w:sz w:val="28"/>
          <w:szCs w:val="28"/>
        </w:rPr>
        <w:t xml:space="preserve">, объем инвестиций </w:t>
      </w:r>
      <w:r w:rsidR="002C48B2">
        <w:rPr>
          <w:rFonts w:ascii="PT Astra Serif" w:hAnsi="PT Astra Serif" w:cs="Times New Roman"/>
          <w:sz w:val="28"/>
          <w:szCs w:val="28"/>
        </w:rPr>
        <w:t>65,</w:t>
      </w:r>
      <w:r w:rsidR="00F91B9A" w:rsidRPr="00F91B9A">
        <w:rPr>
          <w:rFonts w:ascii="PT Astra Serif" w:hAnsi="PT Astra Serif" w:cs="Times New Roman"/>
          <w:sz w:val="28"/>
          <w:szCs w:val="28"/>
        </w:rPr>
        <w:t>4</w:t>
      </w:r>
      <w:r w:rsidRPr="00B86D59">
        <w:rPr>
          <w:rFonts w:ascii="PT Astra Serif" w:hAnsi="PT Astra Serif" w:cs="Times New Roman"/>
          <w:sz w:val="28"/>
          <w:szCs w:val="28"/>
        </w:rPr>
        <w:t xml:space="preserve"> млрд рублей</w:t>
      </w:r>
      <w:r>
        <w:rPr>
          <w:rFonts w:ascii="PT Astra Serif" w:hAnsi="PT Astra Serif" w:cs="Times New Roman"/>
          <w:sz w:val="28"/>
          <w:szCs w:val="28"/>
        </w:rPr>
        <w:t>, в том числе</w:t>
      </w:r>
      <w:r w:rsidRPr="00B86D59">
        <w:rPr>
          <w:rFonts w:ascii="PT Astra Serif" w:hAnsi="PT Astra Serif" w:cs="Times New Roman"/>
          <w:sz w:val="28"/>
          <w:szCs w:val="28"/>
        </w:rPr>
        <w:t>:</w:t>
      </w:r>
    </w:p>
    <w:p w14:paraId="57718730" w14:textId="04E2396F" w:rsidR="003F6AE7" w:rsidRDefault="003F6AE7" w:rsidP="003F6AE7">
      <w:pPr>
        <w:spacing w:after="12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86D59">
        <w:rPr>
          <w:rFonts w:ascii="PT Astra Serif" w:hAnsi="PT Astra Serif" w:cs="Times New Roman"/>
          <w:sz w:val="28"/>
          <w:szCs w:val="28"/>
        </w:rPr>
        <w:t>-</w:t>
      </w:r>
      <w:r>
        <w:rPr>
          <w:rFonts w:ascii="PT Astra Serif" w:hAnsi="PT Astra Serif" w:cs="Times New Roman"/>
          <w:sz w:val="28"/>
          <w:szCs w:val="28"/>
        </w:rPr>
        <w:t xml:space="preserve"> в сфере транспортной инфраструктуры – 1 проект, объем инвестиций – </w:t>
      </w:r>
      <w:r w:rsidR="002C48B2">
        <w:rPr>
          <w:rFonts w:ascii="PT Astra Serif" w:hAnsi="PT Astra Serif" w:cs="Times New Roman"/>
          <w:sz w:val="28"/>
          <w:szCs w:val="28"/>
        </w:rPr>
        <w:t>4,4</w:t>
      </w:r>
      <w:r>
        <w:rPr>
          <w:rFonts w:ascii="PT Astra Serif" w:hAnsi="PT Astra Serif" w:cs="Times New Roman"/>
          <w:sz w:val="28"/>
          <w:szCs w:val="28"/>
        </w:rPr>
        <w:t xml:space="preserve"> млрд рублей; </w:t>
      </w:r>
      <w:r w:rsidRPr="00B86D59">
        <w:rPr>
          <w:rFonts w:ascii="PT Astra Serif" w:hAnsi="PT Astra Serif" w:cs="Times New Roman"/>
          <w:sz w:val="28"/>
          <w:szCs w:val="28"/>
        </w:rPr>
        <w:t xml:space="preserve"> </w:t>
      </w:r>
    </w:p>
    <w:p w14:paraId="395C1CCC" w14:textId="7ACA58E1" w:rsidR="003F6AE7" w:rsidRPr="00B86D59" w:rsidRDefault="003F6AE7" w:rsidP="003F6AE7">
      <w:pPr>
        <w:spacing w:after="12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86D59">
        <w:rPr>
          <w:rFonts w:ascii="PT Astra Serif" w:hAnsi="PT Astra Serif" w:cs="Times New Roman"/>
          <w:sz w:val="28"/>
          <w:szCs w:val="28"/>
        </w:rPr>
        <w:t xml:space="preserve">в сфере образования – </w:t>
      </w:r>
      <w:r w:rsidR="008067EB">
        <w:rPr>
          <w:rFonts w:ascii="PT Astra Serif" w:hAnsi="PT Astra Serif" w:cs="Times New Roman"/>
          <w:sz w:val="28"/>
          <w:szCs w:val="28"/>
        </w:rPr>
        <w:t>13</w:t>
      </w:r>
      <w:r w:rsidRPr="00B86D59">
        <w:rPr>
          <w:rFonts w:ascii="PT Astra Serif" w:hAnsi="PT Astra Serif" w:cs="Times New Roman"/>
          <w:sz w:val="28"/>
          <w:szCs w:val="28"/>
        </w:rPr>
        <w:t xml:space="preserve"> проектов, объем инвестиций – </w:t>
      </w:r>
      <w:r w:rsidR="008067EB">
        <w:rPr>
          <w:rFonts w:ascii="PT Astra Serif" w:hAnsi="PT Astra Serif" w:cs="Times New Roman"/>
          <w:sz w:val="28"/>
          <w:szCs w:val="28"/>
        </w:rPr>
        <w:t>23,2</w:t>
      </w:r>
      <w:r w:rsidRPr="00B86D59">
        <w:rPr>
          <w:rFonts w:ascii="PT Astra Serif" w:hAnsi="PT Astra Serif" w:cs="Times New Roman"/>
          <w:sz w:val="28"/>
          <w:szCs w:val="28"/>
        </w:rPr>
        <w:t xml:space="preserve"> млрд рублей;</w:t>
      </w:r>
    </w:p>
    <w:p w14:paraId="1DC98837" w14:textId="5CFF8FBF" w:rsidR="003F6AE7" w:rsidRPr="00B86D59" w:rsidRDefault="003F6AE7" w:rsidP="003F6AE7">
      <w:pPr>
        <w:spacing w:after="12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86D59">
        <w:rPr>
          <w:rFonts w:ascii="PT Astra Serif" w:hAnsi="PT Astra Serif" w:cs="Times New Roman"/>
          <w:sz w:val="28"/>
          <w:szCs w:val="28"/>
        </w:rPr>
        <w:t>- в сфере ЖКК – 2 проекта, объем инвестиций – 12,</w:t>
      </w:r>
      <w:r w:rsidR="008067EB">
        <w:rPr>
          <w:rFonts w:ascii="PT Astra Serif" w:hAnsi="PT Astra Serif" w:cs="Times New Roman"/>
          <w:sz w:val="28"/>
          <w:szCs w:val="28"/>
        </w:rPr>
        <w:t>3</w:t>
      </w:r>
      <w:r w:rsidRPr="00B86D59">
        <w:rPr>
          <w:rFonts w:ascii="PT Astra Serif" w:hAnsi="PT Astra Serif" w:cs="Times New Roman"/>
          <w:sz w:val="28"/>
          <w:szCs w:val="28"/>
        </w:rPr>
        <w:t xml:space="preserve"> млрд рублей;</w:t>
      </w:r>
    </w:p>
    <w:p w14:paraId="577B721B" w14:textId="4672F6C6" w:rsidR="003F6AE7" w:rsidRPr="00B86D59" w:rsidRDefault="003F6AE7" w:rsidP="003F6AE7">
      <w:pPr>
        <w:spacing w:after="12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86D59">
        <w:rPr>
          <w:rFonts w:ascii="PT Astra Serif" w:hAnsi="PT Astra Serif" w:cs="Times New Roman"/>
          <w:sz w:val="28"/>
          <w:szCs w:val="28"/>
        </w:rPr>
        <w:t xml:space="preserve">- в сфере ТКО – </w:t>
      </w:r>
      <w:r w:rsidR="008067EB">
        <w:rPr>
          <w:rFonts w:ascii="PT Astra Serif" w:hAnsi="PT Astra Serif" w:cs="Times New Roman"/>
          <w:sz w:val="28"/>
          <w:szCs w:val="28"/>
        </w:rPr>
        <w:t>7</w:t>
      </w:r>
      <w:r w:rsidRPr="00B86D59">
        <w:rPr>
          <w:rFonts w:ascii="PT Astra Serif" w:hAnsi="PT Astra Serif" w:cs="Times New Roman"/>
          <w:sz w:val="28"/>
          <w:szCs w:val="28"/>
        </w:rPr>
        <w:t xml:space="preserve"> проектов, объем инвестиций – </w:t>
      </w:r>
      <w:r w:rsidR="008067EB">
        <w:rPr>
          <w:rFonts w:ascii="PT Astra Serif" w:hAnsi="PT Astra Serif" w:cs="Times New Roman"/>
          <w:sz w:val="28"/>
          <w:szCs w:val="28"/>
        </w:rPr>
        <w:t>13,</w:t>
      </w:r>
      <w:r w:rsidR="00F91B9A" w:rsidRPr="00F91B9A">
        <w:rPr>
          <w:rFonts w:ascii="PT Astra Serif" w:hAnsi="PT Astra Serif" w:cs="Times New Roman"/>
          <w:sz w:val="28"/>
          <w:szCs w:val="28"/>
        </w:rPr>
        <w:t>4</w:t>
      </w:r>
      <w:r w:rsidRPr="00B86D59">
        <w:rPr>
          <w:rFonts w:ascii="PT Astra Serif" w:hAnsi="PT Astra Serif" w:cs="Times New Roman"/>
          <w:sz w:val="28"/>
          <w:szCs w:val="28"/>
        </w:rPr>
        <w:t xml:space="preserve"> млрд рублей;</w:t>
      </w:r>
    </w:p>
    <w:p w14:paraId="35D564A1" w14:textId="0A735326" w:rsidR="003F6AE7" w:rsidRPr="00B86D59" w:rsidRDefault="003F6AE7" w:rsidP="003F6AE7">
      <w:pPr>
        <w:spacing w:after="12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86D59">
        <w:rPr>
          <w:rFonts w:ascii="PT Astra Serif" w:hAnsi="PT Astra Serif" w:cs="Times New Roman"/>
          <w:sz w:val="28"/>
          <w:szCs w:val="28"/>
        </w:rPr>
        <w:t xml:space="preserve">- в сфере спорта – </w:t>
      </w:r>
      <w:r w:rsidR="008067EB">
        <w:rPr>
          <w:rFonts w:ascii="PT Astra Serif" w:hAnsi="PT Astra Serif" w:cs="Times New Roman"/>
          <w:sz w:val="28"/>
          <w:szCs w:val="28"/>
        </w:rPr>
        <w:t>4</w:t>
      </w:r>
      <w:r w:rsidRPr="00B86D59">
        <w:rPr>
          <w:rFonts w:ascii="PT Astra Serif" w:hAnsi="PT Astra Serif" w:cs="Times New Roman"/>
          <w:sz w:val="28"/>
          <w:szCs w:val="28"/>
        </w:rPr>
        <w:t xml:space="preserve"> проекта, объем инвестиций – </w:t>
      </w:r>
      <w:r w:rsidR="008067EB">
        <w:rPr>
          <w:rFonts w:ascii="PT Astra Serif" w:hAnsi="PT Astra Serif" w:cs="Times New Roman"/>
          <w:sz w:val="28"/>
          <w:szCs w:val="28"/>
        </w:rPr>
        <w:t>1,2</w:t>
      </w:r>
      <w:r w:rsidRPr="00B86D59">
        <w:rPr>
          <w:rFonts w:ascii="PT Astra Serif" w:hAnsi="PT Astra Serif" w:cs="Times New Roman"/>
          <w:sz w:val="28"/>
          <w:szCs w:val="28"/>
        </w:rPr>
        <w:t xml:space="preserve"> млрд рублей;</w:t>
      </w:r>
    </w:p>
    <w:p w14:paraId="568240C4" w14:textId="741DD4FA" w:rsidR="003F6AE7" w:rsidRPr="00B86D59" w:rsidRDefault="003F6AE7" w:rsidP="003F6AE7">
      <w:pPr>
        <w:spacing w:after="12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86D59">
        <w:rPr>
          <w:rFonts w:ascii="PT Astra Serif" w:hAnsi="PT Astra Serif" w:cs="Times New Roman"/>
          <w:sz w:val="28"/>
          <w:szCs w:val="28"/>
        </w:rPr>
        <w:lastRenderedPageBreak/>
        <w:t>- в сфере здравоохранения - 1 проект, объем инвестиций – 10,9 млрд рублей</w:t>
      </w:r>
      <w:r>
        <w:rPr>
          <w:rFonts w:ascii="PT Astra Serif" w:hAnsi="PT Astra Serif" w:cs="Times New Roman"/>
          <w:sz w:val="28"/>
          <w:szCs w:val="28"/>
        </w:rPr>
        <w:t>;</w:t>
      </w:r>
    </w:p>
    <w:p w14:paraId="7A2AEA3C" w14:textId="2D0EF060" w:rsidR="008067EB" w:rsidRPr="003C72EE" w:rsidRDefault="003F6AE7" w:rsidP="008067EB">
      <w:pPr>
        <w:pStyle w:val="a3"/>
        <w:tabs>
          <w:tab w:val="left" w:pos="851"/>
          <w:tab w:val="left" w:pos="993"/>
          <w:tab w:val="left" w:pos="1134"/>
        </w:tabs>
        <w:spacing w:after="0" w:line="360" w:lineRule="auto"/>
        <w:ind w:left="709"/>
        <w:jc w:val="both"/>
        <w:rPr>
          <w:rFonts w:ascii="PT Astra Serif" w:hAnsi="PT Astra Serif"/>
          <w:sz w:val="28"/>
          <w:szCs w:val="28"/>
        </w:rPr>
      </w:pPr>
      <w:r w:rsidRPr="00E71BDD">
        <w:rPr>
          <w:rFonts w:ascii="PT Astra Serif" w:hAnsi="PT Astra Serif"/>
          <w:sz w:val="28"/>
          <w:szCs w:val="28"/>
        </w:rPr>
        <w:t xml:space="preserve">В </w:t>
      </w:r>
      <w:r w:rsidR="00535310">
        <w:rPr>
          <w:rFonts w:ascii="PT Astra Serif" w:hAnsi="PT Astra Serif"/>
          <w:sz w:val="28"/>
          <w:szCs w:val="28"/>
        </w:rPr>
        <w:t>2022 году</w:t>
      </w:r>
      <w:r w:rsidRPr="00E71BDD">
        <w:rPr>
          <w:rFonts w:ascii="PT Astra Serif" w:hAnsi="PT Astra Serif"/>
          <w:sz w:val="28"/>
          <w:szCs w:val="28"/>
        </w:rPr>
        <w:t xml:space="preserve"> </w:t>
      </w:r>
      <w:r w:rsidR="008067EB" w:rsidRPr="003C72EE">
        <w:rPr>
          <w:rFonts w:ascii="PT Astra Serif" w:hAnsi="PT Astra Serif"/>
          <w:sz w:val="28"/>
          <w:szCs w:val="28"/>
        </w:rPr>
        <w:t>заключены концессионные соглашения:</w:t>
      </w:r>
    </w:p>
    <w:p w14:paraId="5B68F090" w14:textId="4A5823CD" w:rsidR="008067EB" w:rsidRPr="003C72EE" w:rsidRDefault="008067EB" w:rsidP="007F53DD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C72EE">
        <w:rPr>
          <w:rFonts w:ascii="PT Astra Serif" w:hAnsi="PT Astra Serif"/>
          <w:sz w:val="28"/>
          <w:szCs w:val="28"/>
        </w:rPr>
        <w:t xml:space="preserve">о </w:t>
      </w:r>
      <w:r w:rsidRPr="003C72EE">
        <w:rPr>
          <w:rStyle w:val="BoldText"/>
          <w:rFonts w:ascii="PT Astra Serif" w:hAnsi="PT Astra Serif"/>
          <w:b w:val="0"/>
          <w:bCs/>
          <w:sz w:val="28"/>
          <w:szCs w:val="28"/>
        </w:rPr>
        <w:t>финансировании, проектировании, строительстве и эксплуатации</w:t>
      </w:r>
      <w:r w:rsidRPr="003C72EE">
        <w:rPr>
          <w:rStyle w:val="BoldText"/>
          <w:rFonts w:ascii="PT Astra Serif" w:hAnsi="PT Astra Serif"/>
          <w:sz w:val="28"/>
          <w:szCs w:val="28"/>
        </w:rPr>
        <w:t xml:space="preserve"> </w:t>
      </w:r>
      <w:r w:rsidRPr="003C72EE">
        <w:rPr>
          <w:rFonts w:ascii="PT Astra Serif" w:hAnsi="PT Astra Serif"/>
          <w:sz w:val="28"/>
          <w:szCs w:val="28"/>
        </w:rPr>
        <w:t xml:space="preserve">спортивного комплекса с универсальным игровым залом в </w:t>
      </w:r>
      <w:proofErr w:type="spellStart"/>
      <w:r w:rsidRPr="003C72EE">
        <w:rPr>
          <w:rFonts w:ascii="PT Astra Serif" w:hAnsi="PT Astra Serif"/>
          <w:sz w:val="28"/>
          <w:szCs w:val="28"/>
        </w:rPr>
        <w:t>мкр</w:t>
      </w:r>
      <w:proofErr w:type="spellEnd"/>
      <w:r w:rsidRPr="003C72EE">
        <w:rPr>
          <w:rFonts w:ascii="PT Astra Serif" w:hAnsi="PT Astra Serif"/>
          <w:sz w:val="28"/>
          <w:szCs w:val="28"/>
        </w:rPr>
        <w:t>. А муниципальном образовании городской округ Сургут Ханты-Мансийского автономного округа – Югры с ООО «РК+»;</w:t>
      </w:r>
    </w:p>
    <w:p w14:paraId="63E1AC63" w14:textId="3262500E" w:rsidR="008067EB" w:rsidRPr="003C72EE" w:rsidRDefault="008067EB" w:rsidP="007F53DD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C72EE">
        <w:rPr>
          <w:rFonts w:ascii="PT Astra Serif" w:hAnsi="PT Astra Serif"/>
          <w:sz w:val="28"/>
          <w:szCs w:val="28"/>
        </w:rPr>
        <w:t xml:space="preserve">о </w:t>
      </w:r>
      <w:r w:rsidRPr="003C72EE">
        <w:rPr>
          <w:rStyle w:val="BoldText"/>
          <w:rFonts w:ascii="PT Astra Serif" w:hAnsi="PT Astra Serif"/>
          <w:b w:val="0"/>
          <w:bCs/>
          <w:sz w:val="28"/>
          <w:szCs w:val="28"/>
        </w:rPr>
        <w:t>финансировании, проектировании, строительстве и эксплуатации</w:t>
      </w:r>
      <w:r w:rsidRPr="003C72EE">
        <w:rPr>
          <w:rFonts w:ascii="PT Astra Serif" w:hAnsi="PT Astra Serif"/>
          <w:sz w:val="28"/>
          <w:szCs w:val="28"/>
        </w:rPr>
        <w:t xml:space="preserve"> спортивного комплекса с универсальным игровым залом и дворца боевых искусств в </w:t>
      </w:r>
      <w:proofErr w:type="spellStart"/>
      <w:r w:rsidRPr="003C72EE">
        <w:rPr>
          <w:rFonts w:ascii="PT Astra Serif" w:hAnsi="PT Astra Serif"/>
          <w:sz w:val="28"/>
          <w:szCs w:val="28"/>
        </w:rPr>
        <w:t>мкр</w:t>
      </w:r>
      <w:proofErr w:type="spellEnd"/>
      <w:r w:rsidRPr="003C72EE">
        <w:rPr>
          <w:rFonts w:ascii="PT Astra Serif" w:hAnsi="PT Astra Serif"/>
          <w:sz w:val="28"/>
          <w:szCs w:val="28"/>
        </w:rPr>
        <w:t>. 30А в муниципальном образовании городской округ Сургут Ханты-Мансийского автономного округа – Югры с ООО «РК+»;</w:t>
      </w:r>
    </w:p>
    <w:p w14:paraId="639F3744" w14:textId="71235C69" w:rsidR="008067EB" w:rsidRPr="003C72EE" w:rsidRDefault="008067EB" w:rsidP="007F53DD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rStyle w:val="BoldText"/>
          <w:rFonts w:ascii="PT Astra Serif" w:hAnsi="PT Astra Serif"/>
          <w:b w:val="0"/>
          <w:sz w:val="28"/>
          <w:szCs w:val="28"/>
        </w:rPr>
      </w:pPr>
      <w:r w:rsidRPr="003C72EE">
        <w:rPr>
          <w:rStyle w:val="BoldText"/>
          <w:rFonts w:ascii="PT Astra Serif" w:hAnsi="PT Astra Serif"/>
          <w:b w:val="0"/>
          <w:bCs/>
          <w:sz w:val="28"/>
          <w:szCs w:val="28"/>
        </w:rPr>
        <w:t xml:space="preserve">о финансировании, проектировании, строительстве и эксплуатации спортивного комплекса с универсальным игровым залом в </w:t>
      </w:r>
      <w:proofErr w:type="spellStart"/>
      <w:r w:rsidRPr="003C72EE">
        <w:rPr>
          <w:rStyle w:val="BoldText"/>
          <w:rFonts w:ascii="PT Astra Serif" w:hAnsi="PT Astra Serif"/>
          <w:b w:val="0"/>
          <w:bCs/>
          <w:sz w:val="28"/>
          <w:szCs w:val="28"/>
        </w:rPr>
        <w:t>мкр</w:t>
      </w:r>
      <w:proofErr w:type="spellEnd"/>
      <w:r w:rsidRPr="003C72EE">
        <w:rPr>
          <w:rStyle w:val="BoldText"/>
          <w:rFonts w:ascii="PT Astra Serif" w:hAnsi="PT Astra Serif"/>
          <w:b w:val="0"/>
          <w:bCs/>
          <w:sz w:val="28"/>
          <w:szCs w:val="28"/>
        </w:rPr>
        <w:t xml:space="preserve">. </w:t>
      </w:r>
      <w:proofErr w:type="spellStart"/>
      <w:r w:rsidRPr="003C72EE">
        <w:rPr>
          <w:rStyle w:val="BoldText"/>
          <w:rFonts w:ascii="PT Astra Serif" w:hAnsi="PT Astra Serif"/>
          <w:b w:val="0"/>
          <w:bCs/>
          <w:sz w:val="28"/>
          <w:szCs w:val="28"/>
        </w:rPr>
        <w:t>Хоззона</w:t>
      </w:r>
      <w:proofErr w:type="spellEnd"/>
      <w:r w:rsidRPr="003C72EE">
        <w:rPr>
          <w:rStyle w:val="BoldText"/>
          <w:rFonts w:ascii="PT Astra Serif" w:hAnsi="PT Astra Serif"/>
          <w:b w:val="0"/>
          <w:bCs/>
          <w:sz w:val="28"/>
          <w:szCs w:val="28"/>
        </w:rPr>
        <w:t xml:space="preserve"> в муниципальном образовании городской округ Сургут Ханты-Мансийского автономного округа - Югры</w:t>
      </w:r>
      <w:r w:rsidRPr="003C72EE">
        <w:rPr>
          <w:rFonts w:ascii="PT Astra Serif" w:hAnsi="PT Astra Serif"/>
          <w:sz w:val="28"/>
          <w:szCs w:val="28"/>
        </w:rPr>
        <w:t xml:space="preserve"> с ООО «Интера-спорт»;</w:t>
      </w:r>
    </w:p>
    <w:p w14:paraId="6E181BB8" w14:textId="749D1BC2" w:rsidR="008067EB" w:rsidRPr="00587412" w:rsidRDefault="008067EB" w:rsidP="007F53DD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C72EE">
        <w:rPr>
          <w:rStyle w:val="BoldText"/>
          <w:rFonts w:ascii="PT Astra Serif" w:hAnsi="PT Astra Serif"/>
          <w:b w:val="0"/>
          <w:bCs/>
          <w:sz w:val="28"/>
          <w:szCs w:val="28"/>
        </w:rPr>
        <w:t xml:space="preserve"> </w:t>
      </w:r>
      <w:r w:rsidRPr="00587412">
        <w:rPr>
          <w:rFonts w:ascii="PT Astra Serif" w:hAnsi="PT Astra Serif"/>
          <w:sz w:val="28"/>
          <w:szCs w:val="28"/>
        </w:rPr>
        <w:t>спортивного комплекса с искусственным льдом (</w:t>
      </w:r>
      <w:proofErr w:type="spellStart"/>
      <w:r w:rsidRPr="00587412">
        <w:rPr>
          <w:rFonts w:ascii="PT Astra Serif" w:hAnsi="PT Astra Serif"/>
          <w:sz w:val="28"/>
          <w:szCs w:val="28"/>
        </w:rPr>
        <w:t>мкр</w:t>
      </w:r>
      <w:proofErr w:type="spellEnd"/>
      <w:r w:rsidRPr="00587412">
        <w:rPr>
          <w:rFonts w:ascii="PT Astra Serif" w:hAnsi="PT Astra Serif"/>
          <w:sz w:val="28"/>
          <w:szCs w:val="28"/>
        </w:rPr>
        <w:t xml:space="preserve">. </w:t>
      </w:r>
      <w:proofErr w:type="spellStart"/>
      <w:r w:rsidRPr="00587412">
        <w:rPr>
          <w:rFonts w:ascii="PT Astra Serif" w:hAnsi="PT Astra Serif"/>
          <w:sz w:val="28"/>
          <w:szCs w:val="28"/>
        </w:rPr>
        <w:t>Хоззона</w:t>
      </w:r>
      <w:proofErr w:type="spellEnd"/>
      <w:r w:rsidRPr="00587412">
        <w:rPr>
          <w:rFonts w:ascii="PT Astra Serif" w:hAnsi="PT Astra Serif"/>
          <w:sz w:val="28"/>
          <w:szCs w:val="28"/>
        </w:rPr>
        <w:t xml:space="preserve">) </w:t>
      </w:r>
      <w:r w:rsidRPr="00587412">
        <w:rPr>
          <w:rStyle w:val="BoldText"/>
          <w:rFonts w:ascii="PT Astra Serif" w:hAnsi="PT Astra Serif"/>
          <w:b w:val="0"/>
          <w:bCs/>
          <w:sz w:val="28"/>
          <w:szCs w:val="28"/>
        </w:rPr>
        <w:t>в муниципальном образовании городской округ Сургут Ханты-Мансийского автономного округа - Югры</w:t>
      </w:r>
      <w:r w:rsidRPr="00587412">
        <w:rPr>
          <w:rFonts w:ascii="PT Astra Serif" w:hAnsi="PT Astra Serif"/>
          <w:sz w:val="28"/>
          <w:szCs w:val="28"/>
        </w:rPr>
        <w:t xml:space="preserve"> с ООО «Интера-спорт»;</w:t>
      </w:r>
    </w:p>
    <w:p w14:paraId="2DEC50E4" w14:textId="4A3EC5CE" w:rsidR="008067EB" w:rsidRPr="00587412" w:rsidRDefault="008067EB" w:rsidP="007F53DD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587412">
        <w:rPr>
          <w:rFonts w:ascii="PT Astra Serif" w:hAnsi="PT Astra Serif"/>
          <w:sz w:val="28"/>
          <w:szCs w:val="28"/>
        </w:rPr>
        <w:t xml:space="preserve">о </w:t>
      </w:r>
      <w:r w:rsidRPr="00587412">
        <w:rPr>
          <w:rStyle w:val="BoldText"/>
          <w:rFonts w:ascii="PT Astra Serif" w:hAnsi="PT Astra Serif"/>
          <w:b w:val="0"/>
          <w:bCs/>
          <w:sz w:val="28"/>
          <w:szCs w:val="28"/>
        </w:rPr>
        <w:t>финансировании, проектировании, строительстве и эксплуатации</w:t>
      </w:r>
      <w:r w:rsidRPr="00587412">
        <w:rPr>
          <w:rStyle w:val="BoldText"/>
          <w:rFonts w:ascii="PT Astra Serif" w:hAnsi="PT Astra Serif"/>
          <w:sz w:val="28"/>
          <w:szCs w:val="28"/>
        </w:rPr>
        <w:t xml:space="preserve"> </w:t>
      </w:r>
      <w:r w:rsidRPr="00587412">
        <w:rPr>
          <w:rFonts w:ascii="PT Astra Serif" w:hAnsi="PT Astra Serif"/>
          <w:sz w:val="28"/>
          <w:szCs w:val="28"/>
        </w:rPr>
        <w:t>объекта образования «Средняя общеобразовательная школа в микрорайоне 38 в г. Сургуте (Общеобразовательная организация с универсальной безбарьерной средой)» в муниципальном образовании городской округ Сургут Ханты-Мансийского автономного округа- Югры с ООО «Творческие технологии. Призма 7»;</w:t>
      </w:r>
    </w:p>
    <w:p w14:paraId="5DE7F5CC" w14:textId="65375211" w:rsidR="008067EB" w:rsidRPr="00587412" w:rsidRDefault="008067EB" w:rsidP="007F53DD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587412">
        <w:rPr>
          <w:rFonts w:ascii="PT Astra Serif" w:hAnsi="PT Astra Serif"/>
          <w:sz w:val="28"/>
          <w:szCs w:val="28"/>
        </w:rPr>
        <w:t xml:space="preserve">о </w:t>
      </w:r>
      <w:r w:rsidRPr="00587412">
        <w:rPr>
          <w:rStyle w:val="BoldText"/>
          <w:rFonts w:ascii="PT Astra Serif" w:hAnsi="PT Astra Serif"/>
          <w:b w:val="0"/>
          <w:bCs/>
          <w:sz w:val="28"/>
          <w:szCs w:val="28"/>
        </w:rPr>
        <w:t>финансировании, проектировании, строительстве и эксплуатации</w:t>
      </w:r>
      <w:r w:rsidRPr="00587412">
        <w:rPr>
          <w:rStyle w:val="BoldText"/>
          <w:rFonts w:ascii="PT Astra Serif" w:hAnsi="PT Astra Serif"/>
          <w:sz w:val="28"/>
          <w:szCs w:val="28"/>
        </w:rPr>
        <w:t xml:space="preserve"> </w:t>
      </w:r>
      <w:r w:rsidRPr="00587412">
        <w:rPr>
          <w:rFonts w:ascii="PT Astra Serif" w:hAnsi="PT Astra Serif"/>
          <w:sz w:val="28"/>
          <w:szCs w:val="28"/>
        </w:rPr>
        <w:t>объекта образования «Средняя общеобразовательная школа в микрорайоне 20А г. Сургута (Общеобразовательная организация с универсальной безбарьерной средой)» с ООО «Школа»;</w:t>
      </w:r>
    </w:p>
    <w:p w14:paraId="26CD6B14" w14:textId="1654350A" w:rsidR="008067EB" w:rsidRPr="00587412" w:rsidRDefault="008067EB" w:rsidP="007F53DD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587412">
        <w:rPr>
          <w:rFonts w:ascii="PT Astra Serif" w:hAnsi="PT Astra Serif"/>
          <w:sz w:val="28"/>
          <w:szCs w:val="28"/>
        </w:rPr>
        <w:lastRenderedPageBreak/>
        <w:t xml:space="preserve">о </w:t>
      </w:r>
      <w:r w:rsidRPr="00587412">
        <w:rPr>
          <w:rStyle w:val="BoldText"/>
          <w:rFonts w:ascii="PT Astra Serif" w:hAnsi="PT Astra Serif"/>
          <w:b w:val="0"/>
          <w:bCs/>
          <w:sz w:val="28"/>
          <w:szCs w:val="28"/>
        </w:rPr>
        <w:t>финансировании, проектировании, строительстве и эксплуатации</w:t>
      </w:r>
      <w:r w:rsidRPr="00587412">
        <w:rPr>
          <w:rStyle w:val="BoldText"/>
          <w:rFonts w:ascii="PT Astra Serif" w:hAnsi="PT Astra Serif"/>
          <w:sz w:val="28"/>
          <w:szCs w:val="28"/>
        </w:rPr>
        <w:t xml:space="preserve"> </w:t>
      </w:r>
      <w:r w:rsidRPr="00587412">
        <w:rPr>
          <w:rFonts w:ascii="PT Astra Serif" w:hAnsi="PT Astra Serif"/>
          <w:sz w:val="28"/>
          <w:szCs w:val="28"/>
        </w:rPr>
        <w:t>объекта образования «Средняя общеобразовательная школа на 1100 учащихся в пгт. Белый Яр (Общеобразовательная организация с универсальной безбарьерной средой)» с ООО «Школа Белый Яр»;</w:t>
      </w:r>
    </w:p>
    <w:p w14:paraId="31919B2F" w14:textId="37837276" w:rsidR="008067EB" w:rsidRPr="00587412" w:rsidRDefault="008067EB" w:rsidP="007F53DD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587412">
        <w:rPr>
          <w:rFonts w:ascii="PT Astra Serif" w:hAnsi="PT Astra Serif"/>
          <w:sz w:val="28"/>
          <w:szCs w:val="28"/>
        </w:rPr>
        <w:t xml:space="preserve">о </w:t>
      </w:r>
      <w:r w:rsidRPr="00587412">
        <w:rPr>
          <w:rStyle w:val="BoldText"/>
          <w:rFonts w:ascii="PT Astra Serif" w:hAnsi="PT Astra Serif"/>
          <w:b w:val="0"/>
          <w:bCs/>
          <w:sz w:val="28"/>
          <w:szCs w:val="28"/>
        </w:rPr>
        <w:t>финансировании, проектировании, строительстве и эксплуатации</w:t>
      </w:r>
      <w:r w:rsidRPr="00587412">
        <w:rPr>
          <w:rStyle w:val="BoldText"/>
          <w:rFonts w:ascii="PT Astra Serif" w:hAnsi="PT Astra Serif"/>
          <w:sz w:val="28"/>
          <w:szCs w:val="28"/>
        </w:rPr>
        <w:t xml:space="preserve"> </w:t>
      </w:r>
      <w:r w:rsidRPr="00587412">
        <w:rPr>
          <w:rFonts w:ascii="PT Astra Serif" w:hAnsi="PT Astra Serif"/>
          <w:sz w:val="28"/>
          <w:szCs w:val="28"/>
        </w:rPr>
        <w:t>объекта образования «Средняя школа на 1500 учащихся в районе СУ – 967 города Ханты-Мансийска» с ООО «Региональная концессионная компания»;</w:t>
      </w:r>
    </w:p>
    <w:p w14:paraId="39FB2767" w14:textId="48CAEAB0" w:rsidR="008067EB" w:rsidRPr="00587412" w:rsidRDefault="008067EB" w:rsidP="007F53DD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587412">
        <w:rPr>
          <w:rFonts w:ascii="PT Astra Serif" w:hAnsi="PT Astra Serif"/>
          <w:sz w:val="28"/>
          <w:szCs w:val="28"/>
        </w:rPr>
        <w:t xml:space="preserve">о </w:t>
      </w:r>
      <w:r w:rsidRPr="00587412">
        <w:rPr>
          <w:rStyle w:val="BoldText"/>
          <w:rFonts w:ascii="PT Astra Serif" w:hAnsi="PT Astra Serif"/>
          <w:b w:val="0"/>
          <w:bCs/>
          <w:sz w:val="28"/>
          <w:szCs w:val="28"/>
        </w:rPr>
        <w:t>финансировании, проектировании, строительстве и эксплуатации</w:t>
      </w:r>
      <w:r w:rsidRPr="00587412">
        <w:rPr>
          <w:rStyle w:val="BoldText"/>
          <w:rFonts w:ascii="PT Astra Serif" w:hAnsi="PT Astra Serif"/>
          <w:sz w:val="28"/>
          <w:szCs w:val="28"/>
        </w:rPr>
        <w:t xml:space="preserve"> </w:t>
      </w:r>
      <w:r w:rsidRPr="00587412">
        <w:rPr>
          <w:rFonts w:ascii="PT Astra Serif" w:hAnsi="PT Astra Serif"/>
          <w:sz w:val="28"/>
          <w:szCs w:val="28"/>
        </w:rPr>
        <w:t>объекта образования «Средняя общеобразовательная школа №7 в жилом районе Центральный (Общеобразовательная организация с универсальной безбарьерной средой)» с ООО «</w:t>
      </w:r>
      <w:proofErr w:type="spellStart"/>
      <w:r w:rsidRPr="00587412">
        <w:rPr>
          <w:rFonts w:ascii="PT Astra Serif" w:hAnsi="PT Astra Serif"/>
          <w:sz w:val="28"/>
          <w:szCs w:val="28"/>
        </w:rPr>
        <w:t>ПроШкола</w:t>
      </w:r>
      <w:proofErr w:type="spellEnd"/>
      <w:r w:rsidRPr="00587412">
        <w:rPr>
          <w:rFonts w:ascii="PT Astra Serif" w:hAnsi="PT Astra Serif"/>
          <w:sz w:val="28"/>
          <w:szCs w:val="28"/>
        </w:rPr>
        <w:t>»;</w:t>
      </w:r>
    </w:p>
    <w:p w14:paraId="73235F46" w14:textId="2B9A4944" w:rsidR="008067EB" w:rsidRPr="00587412" w:rsidRDefault="008067EB" w:rsidP="007F53DD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587412">
        <w:rPr>
          <w:rFonts w:ascii="PT Astra Serif" w:hAnsi="PT Astra Serif"/>
          <w:sz w:val="28"/>
          <w:szCs w:val="28"/>
        </w:rPr>
        <w:t xml:space="preserve">о создании и эксплуатации Белоярского </w:t>
      </w:r>
      <w:proofErr w:type="spellStart"/>
      <w:r w:rsidRPr="00587412">
        <w:rPr>
          <w:rFonts w:ascii="PT Astra Serif" w:hAnsi="PT Astra Serif"/>
          <w:sz w:val="28"/>
          <w:szCs w:val="28"/>
        </w:rPr>
        <w:t>межпоселенческого</w:t>
      </w:r>
      <w:proofErr w:type="spellEnd"/>
      <w:r w:rsidRPr="00587412">
        <w:rPr>
          <w:rFonts w:ascii="PT Astra Serif" w:hAnsi="PT Astra Serif"/>
          <w:sz w:val="28"/>
          <w:szCs w:val="28"/>
        </w:rPr>
        <w:t xml:space="preserve"> полигона с ООО </w:t>
      </w:r>
      <w:r>
        <w:rPr>
          <w:rFonts w:ascii="PT Astra Serif" w:hAnsi="PT Astra Serif"/>
          <w:sz w:val="28"/>
          <w:szCs w:val="28"/>
        </w:rPr>
        <w:t>«Вертикаль</w:t>
      </w:r>
      <w:r w:rsidRPr="00587412">
        <w:rPr>
          <w:rFonts w:ascii="PT Astra Serif" w:hAnsi="PT Astra Serif"/>
          <w:sz w:val="28"/>
          <w:szCs w:val="28"/>
        </w:rPr>
        <w:t xml:space="preserve">»; </w:t>
      </w:r>
    </w:p>
    <w:p w14:paraId="2F0AFDDC" w14:textId="3128533D" w:rsidR="008067EB" w:rsidRDefault="008067EB" w:rsidP="007F53DD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587412">
        <w:rPr>
          <w:rFonts w:ascii="PT Astra Serif" w:hAnsi="PT Astra Serif"/>
          <w:sz w:val="28"/>
          <w:szCs w:val="28"/>
        </w:rPr>
        <w:t xml:space="preserve">о создании и эксплуатации полигона твердых коммунальных отходов для пгт. </w:t>
      </w:r>
      <w:proofErr w:type="spellStart"/>
      <w:r w:rsidRPr="00587412">
        <w:rPr>
          <w:rFonts w:ascii="PT Astra Serif" w:hAnsi="PT Astra Serif"/>
          <w:sz w:val="28"/>
          <w:szCs w:val="28"/>
        </w:rPr>
        <w:t>Игрим</w:t>
      </w:r>
      <w:proofErr w:type="spellEnd"/>
      <w:r w:rsidRPr="00587412">
        <w:rPr>
          <w:rFonts w:ascii="PT Astra Serif" w:hAnsi="PT Astra Serif"/>
          <w:sz w:val="28"/>
          <w:szCs w:val="28"/>
        </w:rPr>
        <w:t>, поселений Березовского и Октябрьского районов с OOO «РУБИКОН»</w:t>
      </w:r>
      <w:r>
        <w:rPr>
          <w:rFonts w:ascii="PT Astra Serif" w:hAnsi="PT Astra Serif"/>
          <w:sz w:val="28"/>
          <w:szCs w:val="28"/>
        </w:rPr>
        <w:t>.</w:t>
      </w:r>
    </w:p>
    <w:p w14:paraId="1224C178" w14:textId="77777777" w:rsidR="00535310" w:rsidRDefault="00535310" w:rsidP="00535310">
      <w:pPr>
        <w:pStyle w:val="a3"/>
        <w:tabs>
          <w:tab w:val="left" w:pos="993"/>
          <w:tab w:val="left" w:pos="1134"/>
        </w:tabs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 итогам исполнения концессионных соглашений введены в эксплуатацию:</w:t>
      </w:r>
    </w:p>
    <w:p w14:paraId="696700DA" w14:textId="5CA7F191" w:rsidR="00535310" w:rsidRPr="00F56623" w:rsidRDefault="00535310" w:rsidP="007F53DD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PT Astra Serif" w:eastAsia="Times New Roman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Pr="00F56623">
        <w:rPr>
          <w:rFonts w:ascii="PT Astra Serif" w:eastAsia="Times New Roman" w:hAnsi="PT Astra Serif"/>
          <w:color w:val="000000" w:themeColor="text1"/>
          <w:sz w:val="28"/>
          <w:szCs w:val="28"/>
          <w:shd w:val="clear" w:color="auto" w:fill="FFFFFF"/>
        </w:rPr>
        <w:t>Средняя общеобразовательная школа № 9 в микрорайоне 39 г. Сургута. Блок 2 на 550 учащихся</w:t>
      </w:r>
      <w:r w:rsidRPr="00535310">
        <w:rPr>
          <w:rStyle w:val="msoins0"/>
          <w:rFonts w:ascii="PT Astra Serif" w:eastAsia="Times New Roman" w:hAnsi="PT Astra Serif"/>
          <w:color w:val="000000" w:themeColor="text1"/>
          <w:sz w:val="28"/>
          <w:szCs w:val="28"/>
          <w:u w:val="none"/>
        </w:rPr>
        <w:t>;</w:t>
      </w:r>
    </w:p>
    <w:p w14:paraId="2F989A9D" w14:textId="31EB2F61" w:rsidR="00535310" w:rsidRPr="00F56623" w:rsidRDefault="00535310" w:rsidP="007F53DD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PT Astra Serif" w:eastAsia="Times New Roman" w:hAnsi="PT Astra Serif"/>
          <w:color w:val="000000" w:themeColor="text1"/>
          <w:sz w:val="28"/>
          <w:szCs w:val="28"/>
        </w:rPr>
      </w:pPr>
      <w:r w:rsidRPr="00F56623">
        <w:rPr>
          <w:rFonts w:ascii="PT Astra Serif" w:eastAsia="Times New Roman" w:hAnsi="PT Astra Serif"/>
          <w:color w:val="000000" w:themeColor="text1"/>
          <w:sz w:val="28"/>
          <w:szCs w:val="28"/>
          <w:shd w:val="clear" w:color="auto" w:fill="FFFFFF"/>
        </w:rPr>
        <w:t>Средняя школа в микрорайоне Учхоз г. Ханты-Мансийска на 1056 учащихся</w:t>
      </w:r>
      <w:r w:rsidRPr="00535310">
        <w:rPr>
          <w:rStyle w:val="msoins0"/>
          <w:rFonts w:ascii="PT Astra Serif" w:eastAsia="Times New Roman" w:hAnsi="PT Astra Serif"/>
          <w:color w:val="000000" w:themeColor="text1"/>
          <w:sz w:val="28"/>
          <w:szCs w:val="28"/>
          <w:u w:val="none"/>
        </w:rPr>
        <w:t>;</w:t>
      </w:r>
      <w:r w:rsidRPr="00535310">
        <w:rPr>
          <w:rFonts w:ascii="PT Astra Serif" w:eastAsia="Times New Roman" w:hAnsi="PT Astra Serif"/>
          <w:color w:val="000000" w:themeColor="text1"/>
          <w:sz w:val="28"/>
          <w:szCs w:val="28"/>
        </w:rPr>
        <w:t> </w:t>
      </w:r>
      <w:r w:rsidRPr="00F56623">
        <w:rPr>
          <w:rFonts w:ascii="PT Astra Serif" w:eastAsia="Times New Roman" w:hAnsi="PT Astra Serif"/>
          <w:color w:val="000000" w:themeColor="text1"/>
          <w:sz w:val="28"/>
          <w:szCs w:val="28"/>
        </w:rPr>
        <w:t xml:space="preserve">                        </w:t>
      </w:r>
    </w:p>
    <w:p w14:paraId="0C7056B3" w14:textId="5E4545E6" w:rsidR="00535310" w:rsidRPr="00F56623" w:rsidRDefault="00535310" w:rsidP="007F53DD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PT Astra Serif" w:eastAsia="Times New Roman" w:hAnsi="PT Astra Serif"/>
          <w:color w:val="000000" w:themeColor="text1"/>
          <w:sz w:val="28"/>
          <w:szCs w:val="28"/>
        </w:rPr>
      </w:pPr>
      <w:r w:rsidRPr="00F56623">
        <w:rPr>
          <w:rFonts w:ascii="PT Astra Serif" w:eastAsia="Times New Roman" w:hAnsi="PT Astra Serif"/>
          <w:color w:val="000000" w:themeColor="text1"/>
          <w:sz w:val="28"/>
          <w:szCs w:val="28"/>
          <w:shd w:val="clear" w:color="auto" w:fill="FFFFFF"/>
        </w:rPr>
        <w:t>Средняя общеобразовательная школа в п. Солнечный Сургутского района на 1100 учащихся</w:t>
      </w:r>
      <w:r w:rsidRPr="00535310">
        <w:rPr>
          <w:rStyle w:val="msoins0"/>
          <w:rFonts w:ascii="PT Astra Serif" w:eastAsia="Times New Roman" w:hAnsi="PT Astra Serif"/>
          <w:color w:val="000000" w:themeColor="text1"/>
          <w:sz w:val="28"/>
          <w:szCs w:val="28"/>
          <w:u w:val="none"/>
        </w:rPr>
        <w:t>;</w:t>
      </w:r>
    </w:p>
    <w:p w14:paraId="4CBAC673" w14:textId="75384909" w:rsidR="00535310" w:rsidRPr="00F56623" w:rsidRDefault="00535310" w:rsidP="007F53DD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PT Astra Serif" w:eastAsia="Times New Roman" w:hAnsi="PT Astra Serif"/>
          <w:color w:val="000000" w:themeColor="text1"/>
          <w:sz w:val="28"/>
          <w:szCs w:val="28"/>
        </w:rPr>
      </w:pPr>
      <w:r w:rsidRPr="00F56623">
        <w:rPr>
          <w:rFonts w:ascii="PT Astra Serif" w:eastAsia="Times New Roman" w:hAnsi="PT Astra Serif"/>
          <w:color w:val="000000" w:themeColor="text1"/>
          <w:sz w:val="28"/>
          <w:szCs w:val="28"/>
          <w:shd w:val="clear" w:color="auto" w:fill="FFFFFF"/>
        </w:rPr>
        <w:t xml:space="preserve">Средняя общеобразовательная школа в пгт. </w:t>
      </w:r>
      <w:proofErr w:type="spellStart"/>
      <w:r w:rsidRPr="00F56623">
        <w:rPr>
          <w:rFonts w:ascii="PT Astra Serif" w:eastAsia="Times New Roman" w:hAnsi="PT Astra Serif"/>
          <w:color w:val="000000" w:themeColor="text1"/>
          <w:sz w:val="28"/>
          <w:szCs w:val="28"/>
          <w:shd w:val="clear" w:color="auto" w:fill="FFFFFF"/>
        </w:rPr>
        <w:t>Нижнесортымский</w:t>
      </w:r>
      <w:proofErr w:type="spellEnd"/>
      <w:r w:rsidRPr="00F56623">
        <w:rPr>
          <w:rFonts w:ascii="PT Astra Serif" w:eastAsia="Times New Roman" w:hAnsi="PT Astra Serif"/>
          <w:color w:val="000000" w:themeColor="text1"/>
          <w:sz w:val="28"/>
          <w:szCs w:val="28"/>
          <w:shd w:val="clear" w:color="auto" w:fill="FFFFFF"/>
        </w:rPr>
        <w:t xml:space="preserve"> Сургутский район на 1100 учащихся</w:t>
      </w:r>
      <w:r w:rsidRPr="00535310">
        <w:rPr>
          <w:rStyle w:val="msoins0"/>
          <w:rFonts w:ascii="PT Astra Serif" w:eastAsia="Times New Roman" w:hAnsi="PT Astra Serif"/>
          <w:color w:val="000000" w:themeColor="text1"/>
          <w:sz w:val="28"/>
          <w:szCs w:val="28"/>
          <w:u w:val="none"/>
        </w:rPr>
        <w:t>;</w:t>
      </w:r>
    </w:p>
    <w:p w14:paraId="345C172C" w14:textId="79C41AFE" w:rsidR="00535310" w:rsidRPr="00535310" w:rsidRDefault="00535310" w:rsidP="007F53DD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PT Astra Serif" w:eastAsia="Times New Roman" w:hAnsi="PT Astra Serif"/>
          <w:color w:val="000000" w:themeColor="text1"/>
          <w:sz w:val="28"/>
          <w:szCs w:val="28"/>
        </w:rPr>
      </w:pPr>
      <w:r w:rsidRPr="00535310">
        <w:rPr>
          <w:rStyle w:val="msoins0"/>
          <w:rFonts w:ascii="PT Astra Serif" w:eastAsia="Times New Roman" w:hAnsi="PT Astra Serif"/>
          <w:color w:val="000000" w:themeColor="text1"/>
          <w:sz w:val="28"/>
          <w:szCs w:val="28"/>
          <w:u w:val="none"/>
        </w:rPr>
        <w:t xml:space="preserve">Комплексный межмуниципальный полигон для размещения, обезвреживания и обработки твердых коммунальных отходов для городов </w:t>
      </w:r>
      <w:r w:rsidRPr="00535310">
        <w:rPr>
          <w:rStyle w:val="msoins0"/>
          <w:rFonts w:ascii="PT Astra Serif" w:eastAsia="Times New Roman" w:hAnsi="PT Astra Serif"/>
          <w:color w:val="000000" w:themeColor="text1"/>
          <w:sz w:val="28"/>
          <w:szCs w:val="28"/>
          <w:u w:val="none"/>
        </w:rPr>
        <w:lastRenderedPageBreak/>
        <w:t xml:space="preserve">Нефтеюганска и Пыть-Яха, поселений Нефтеюганского района мощность 190 </w:t>
      </w:r>
      <w:proofErr w:type="spellStart"/>
      <w:proofErr w:type="gramStart"/>
      <w:r w:rsidRPr="00535310">
        <w:rPr>
          <w:rStyle w:val="msoins0"/>
          <w:rFonts w:ascii="PT Astra Serif" w:eastAsia="Times New Roman" w:hAnsi="PT Astra Serif"/>
          <w:color w:val="000000" w:themeColor="text1"/>
          <w:sz w:val="28"/>
          <w:szCs w:val="28"/>
          <w:u w:val="none"/>
        </w:rPr>
        <w:t>тыс.тонн</w:t>
      </w:r>
      <w:proofErr w:type="spellEnd"/>
      <w:proofErr w:type="gramEnd"/>
      <w:r w:rsidRPr="00535310">
        <w:rPr>
          <w:rStyle w:val="msoins0"/>
          <w:rFonts w:ascii="PT Astra Serif" w:eastAsia="Times New Roman" w:hAnsi="PT Astra Serif"/>
          <w:color w:val="000000" w:themeColor="text1"/>
          <w:sz w:val="28"/>
          <w:szCs w:val="28"/>
          <w:u w:val="none"/>
        </w:rPr>
        <w:t>.</w:t>
      </w:r>
    </w:p>
    <w:p w14:paraId="2CFEA82B" w14:textId="74572B4F" w:rsidR="00224B8C" w:rsidRPr="00B86D59" w:rsidRDefault="00224B8C" w:rsidP="003F6AE7">
      <w:pPr>
        <w:tabs>
          <w:tab w:val="left" w:pos="993"/>
          <w:tab w:val="left" w:pos="1134"/>
          <w:tab w:val="left" w:pos="1418"/>
        </w:tabs>
        <w:spacing w:after="0" w:line="360" w:lineRule="auto"/>
        <w:ind w:firstLine="709"/>
        <w:contextualSpacing/>
        <w:jc w:val="both"/>
        <w:rPr>
          <w:rFonts w:ascii="PT Astra Serif" w:hAnsi="PT Astra Serif" w:cs="Times New Roman"/>
          <w:b/>
          <w:sz w:val="28"/>
          <w:szCs w:val="28"/>
        </w:rPr>
      </w:pPr>
      <w:r w:rsidRPr="00B86D59">
        <w:rPr>
          <w:rFonts w:ascii="PT Astra Serif" w:hAnsi="PT Astra Serif" w:cs="Times New Roman"/>
          <w:b/>
          <w:sz w:val="28"/>
          <w:szCs w:val="28"/>
        </w:rPr>
        <w:t>Региональный фонд развития промышленности.</w:t>
      </w:r>
    </w:p>
    <w:p w14:paraId="2958ADDB" w14:textId="122261BC" w:rsidR="00535310" w:rsidRPr="00991B78" w:rsidRDefault="00535310" w:rsidP="00535310">
      <w:pPr>
        <w:tabs>
          <w:tab w:val="left" w:pos="426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Hlk97110042"/>
      <w:r w:rsidRPr="00991B78">
        <w:rPr>
          <w:rFonts w:ascii="Times New Roman" w:hAnsi="Times New Roman"/>
          <w:sz w:val="28"/>
          <w:szCs w:val="28"/>
        </w:rPr>
        <w:t>Фондом внесены изменения в нормативные документы, регулирующие предоставление льготных займов: расширен перечень программ финансирования субъектов, реализующих на территории Югры проекты в сфере промышленности (с 9 до 1</w:t>
      </w:r>
      <w:r w:rsidR="003C70A3">
        <w:rPr>
          <w:rFonts w:ascii="Times New Roman" w:hAnsi="Times New Roman"/>
          <w:sz w:val="28"/>
          <w:szCs w:val="28"/>
        </w:rPr>
        <w:t>1</w:t>
      </w:r>
      <w:r w:rsidRPr="00991B78">
        <w:rPr>
          <w:rFonts w:ascii="Times New Roman" w:hAnsi="Times New Roman"/>
          <w:sz w:val="28"/>
          <w:szCs w:val="28"/>
        </w:rPr>
        <w:t xml:space="preserve">), расширено целевое использование займа по программам: «Объекты промышленной инфраструктуры», «Производство», «Пищевик», «Резидент» в части дополнения возможного использования средств займа на такие цели, как приобретение транспортных средств (кроме легкового транспорта) и спецтехники (в размере до 50% от сумма займа), сроки проведения комплексной экспертизы сокращены в 2 раза, откорректированы основные условия программы «Объекты туристкой инфраструктуры» в части увеличения лимита займа до 300 млн. рублей и увеличения максимального срока займа до 7 лет, введено дополнительное требование для заявителей - наличие положительной кредитной истории, введено определение положительной кредитной истории. </w:t>
      </w:r>
    </w:p>
    <w:p w14:paraId="6918A83A" w14:textId="655AB96B" w:rsidR="003C70A3" w:rsidRPr="00991B78" w:rsidRDefault="003C70A3" w:rsidP="003C70A3">
      <w:pPr>
        <w:tabs>
          <w:tab w:val="left" w:pos="426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91B78">
        <w:rPr>
          <w:rFonts w:ascii="Times New Roman" w:hAnsi="Times New Roman"/>
          <w:sz w:val="28"/>
          <w:szCs w:val="28"/>
        </w:rPr>
        <w:t>Экспертным советом Фонда принят</w:t>
      </w:r>
      <w:r>
        <w:rPr>
          <w:rFonts w:ascii="Times New Roman" w:hAnsi="Times New Roman"/>
          <w:sz w:val="28"/>
          <w:szCs w:val="28"/>
        </w:rPr>
        <w:t>ы</w:t>
      </w:r>
      <w:r w:rsidRPr="00991B78">
        <w:rPr>
          <w:rFonts w:ascii="Times New Roman" w:hAnsi="Times New Roman"/>
          <w:sz w:val="28"/>
          <w:szCs w:val="28"/>
        </w:rPr>
        <w:t xml:space="preserve"> пакет</w:t>
      </w:r>
      <w:r>
        <w:rPr>
          <w:rFonts w:ascii="Times New Roman" w:hAnsi="Times New Roman"/>
          <w:sz w:val="28"/>
          <w:szCs w:val="28"/>
        </w:rPr>
        <w:t>ы</w:t>
      </w:r>
      <w:r w:rsidRPr="00991B78">
        <w:rPr>
          <w:rFonts w:ascii="Times New Roman" w:hAnsi="Times New Roman"/>
          <w:sz w:val="28"/>
          <w:szCs w:val="28"/>
        </w:rPr>
        <w:t xml:space="preserve"> мер, направленных на снижение санкционного давления на бизнес Югры: </w:t>
      </w:r>
    </w:p>
    <w:p w14:paraId="71FAA304" w14:textId="77777777" w:rsidR="003C70A3" w:rsidRPr="00991B78" w:rsidRDefault="003C70A3" w:rsidP="007F53DD">
      <w:pPr>
        <w:numPr>
          <w:ilvl w:val="0"/>
          <w:numId w:val="5"/>
        </w:numPr>
        <w:tabs>
          <w:tab w:val="left" w:pos="426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91B78">
        <w:rPr>
          <w:rFonts w:ascii="Times New Roman" w:hAnsi="Times New Roman"/>
          <w:sz w:val="28"/>
          <w:szCs w:val="28"/>
        </w:rPr>
        <w:t>Возможность предоставления действующим заемщикам Фонда отсрочки по уплате основного долга (тела кредита) в 2022 году.</w:t>
      </w:r>
    </w:p>
    <w:p w14:paraId="374CCA83" w14:textId="77777777" w:rsidR="003C70A3" w:rsidRPr="00991B78" w:rsidRDefault="003C70A3" w:rsidP="003C70A3">
      <w:pPr>
        <w:tabs>
          <w:tab w:val="left" w:pos="426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91B78">
        <w:rPr>
          <w:rFonts w:ascii="Times New Roman" w:hAnsi="Times New Roman"/>
          <w:sz w:val="28"/>
          <w:szCs w:val="28"/>
        </w:rPr>
        <w:t>В результате утверждения данной меры поддержки 5 проектов получили реструктуризацию в виде изменения графиков погашения основного долга.</w:t>
      </w:r>
    </w:p>
    <w:p w14:paraId="1801D963" w14:textId="5B0BE55D" w:rsidR="003C70A3" w:rsidRDefault="003C70A3" w:rsidP="007F53DD">
      <w:pPr>
        <w:numPr>
          <w:ilvl w:val="0"/>
          <w:numId w:val="5"/>
        </w:numPr>
        <w:tabs>
          <w:tab w:val="left" w:pos="426"/>
          <w:tab w:val="left" w:pos="709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91B78">
        <w:rPr>
          <w:rFonts w:ascii="Times New Roman" w:hAnsi="Times New Roman"/>
          <w:sz w:val="28"/>
          <w:szCs w:val="28"/>
        </w:rPr>
        <w:t>Неначисление пеней и штрафов за нарушение сроков оплаты платежей по графикам в период с 24.02.2022 по 01.09.2022</w:t>
      </w:r>
      <w:r w:rsidR="004610DE">
        <w:rPr>
          <w:rFonts w:ascii="Times New Roman" w:hAnsi="Times New Roman"/>
          <w:sz w:val="28"/>
          <w:szCs w:val="28"/>
        </w:rPr>
        <w:t xml:space="preserve"> и первом полугодии 2023 года</w:t>
      </w:r>
      <w:r w:rsidRPr="00991B78">
        <w:rPr>
          <w:rFonts w:ascii="Times New Roman" w:hAnsi="Times New Roman"/>
          <w:sz w:val="28"/>
          <w:szCs w:val="28"/>
        </w:rPr>
        <w:t>.</w:t>
      </w:r>
    </w:p>
    <w:p w14:paraId="27FD4826" w14:textId="5280BCED" w:rsidR="003C70A3" w:rsidRPr="003C70A3" w:rsidRDefault="003C70A3" w:rsidP="007F53DD">
      <w:pPr>
        <w:numPr>
          <w:ilvl w:val="0"/>
          <w:numId w:val="5"/>
        </w:numPr>
        <w:tabs>
          <w:tab w:val="left" w:pos="426"/>
          <w:tab w:val="left" w:pos="709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C70A3">
        <w:rPr>
          <w:rFonts w:ascii="Times New Roman" w:hAnsi="Times New Roman"/>
          <w:sz w:val="28"/>
          <w:szCs w:val="28"/>
        </w:rPr>
        <w:t xml:space="preserve">Возможность предоставления действующим заемщикам Фонда отсрочки по уплате основного долга (тела кредита) </w:t>
      </w:r>
      <w:proofErr w:type="gramStart"/>
      <w:r w:rsidRPr="003C70A3">
        <w:rPr>
          <w:rFonts w:ascii="Times New Roman" w:hAnsi="Times New Roman"/>
          <w:sz w:val="28"/>
          <w:szCs w:val="28"/>
        </w:rPr>
        <w:t>в</w:t>
      </w:r>
      <w:r w:rsidR="004610DE">
        <w:rPr>
          <w:rFonts w:ascii="Times New Roman" w:hAnsi="Times New Roman"/>
          <w:sz w:val="28"/>
          <w:szCs w:val="28"/>
        </w:rPr>
        <w:t xml:space="preserve"> </w:t>
      </w:r>
      <w:r w:rsidRPr="003C70A3">
        <w:rPr>
          <w:rFonts w:ascii="Times New Roman" w:hAnsi="Times New Roman"/>
          <w:sz w:val="28"/>
          <w:szCs w:val="28"/>
        </w:rPr>
        <w:t xml:space="preserve"> первом</w:t>
      </w:r>
      <w:proofErr w:type="gramEnd"/>
      <w:r w:rsidRPr="003C70A3">
        <w:rPr>
          <w:rFonts w:ascii="Times New Roman" w:hAnsi="Times New Roman"/>
          <w:sz w:val="28"/>
          <w:szCs w:val="28"/>
        </w:rPr>
        <w:t xml:space="preserve"> полугодии 2023 года.</w:t>
      </w:r>
    </w:p>
    <w:p w14:paraId="3AC593CD" w14:textId="1DBE5107" w:rsidR="003C70A3" w:rsidRPr="00991B78" w:rsidRDefault="003C70A3" w:rsidP="003C70A3">
      <w:pPr>
        <w:tabs>
          <w:tab w:val="left" w:pos="426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91B78">
        <w:rPr>
          <w:rFonts w:ascii="Times New Roman" w:hAnsi="Times New Roman"/>
          <w:sz w:val="28"/>
          <w:szCs w:val="28"/>
        </w:rPr>
        <w:lastRenderedPageBreak/>
        <w:t xml:space="preserve">В результате утверждения данной меры поддержки </w:t>
      </w:r>
      <w:r w:rsidR="004610DE">
        <w:rPr>
          <w:rFonts w:ascii="Times New Roman" w:hAnsi="Times New Roman"/>
          <w:sz w:val="28"/>
          <w:szCs w:val="28"/>
        </w:rPr>
        <w:t>10</w:t>
      </w:r>
      <w:r w:rsidR="004610DE" w:rsidRPr="00991B78">
        <w:rPr>
          <w:rFonts w:ascii="Times New Roman" w:hAnsi="Times New Roman"/>
          <w:sz w:val="28"/>
          <w:szCs w:val="28"/>
        </w:rPr>
        <w:t xml:space="preserve"> </w:t>
      </w:r>
      <w:r w:rsidRPr="00991B78">
        <w:rPr>
          <w:rFonts w:ascii="Times New Roman" w:hAnsi="Times New Roman"/>
          <w:sz w:val="28"/>
          <w:szCs w:val="28"/>
        </w:rPr>
        <w:t>проектов (действующие заемщики Фонда) получили реструктуризацию в виде изменения графиков погашения основного долга.</w:t>
      </w:r>
    </w:p>
    <w:p w14:paraId="48C3E994" w14:textId="77777777" w:rsidR="003C70A3" w:rsidRPr="00991B78" w:rsidRDefault="003C70A3" w:rsidP="003C70A3">
      <w:pPr>
        <w:tabs>
          <w:tab w:val="left" w:pos="426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91B78">
        <w:rPr>
          <w:rFonts w:ascii="Times New Roman" w:hAnsi="Times New Roman"/>
          <w:sz w:val="28"/>
          <w:szCs w:val="28"/>
        </w:rPr>
        <w:t>Утвержден порядок компенсации части процентной ставки по кредитам и займам для предоставления новой меры поддержки в виде компенсации расходов системообразующих организаций Югры по кредитам и займам на приобретение оборудования, спецтехники, строительно-монтажных работ.</w:t>
      </w:r>
    </w:p>
    <w:p w14:paraId="1EE49EE5" w14:textId="77777777" w:rsidR="003C70A3" w:rsidRPr="00991B78" w:rsidRDefault="003C70A3" w:rsidP="003C70A3">
      <w:pPr>
        <w:tabs>
          <w:tab w:val="left" w:pos="426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91B78">
        <w:rPr>
          <w:rFonts w:ascii="Times New Roman" w:hAnsi="Times New Roman"/>
          <w:sz w:val="28"/>
          <w:szCs w:val="28"/>
        </w:rPr>
        <w:t>Утвержден стандарт предоставления финансовой поддержки фондом развития Ханты-Мансийского автономного округа – Югры в форме грантов на компенсацию части затрат на уплату процентов по кредитным договорам, заключенным субъектами промышленности.</w:t>
      </w:r>
    </w:p>
    <w:p w14:paraId="7EF1A50F" w14:textId="31431ED1" w:rsidR="003C70A3" w:rsidRPr="00991B78" w:rsidRDefault="003C70A3" w:rsidP="003C70A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991B78">
        <w:rPr>
          <w:rFonts w:ascii="Times New Roman" w:hAnsi="Times New Roman"/>
          <w:sz w:val="28"/>
          <w:szCs w:val="28"/>
        </w:rPr>
        <w:t>2022 год</w:t>
      </w:r>
      <w:r>
        <w:rPr>
          <w:rFonts w:ascii="Times New Roman" w:hAnsi="Times New Roman"/>
          <w:sz w:val="28"/>
          <w:szCs w:val="28"/>
        </w:rPr>
        <w:t>у</w:t>
      </w:r>
      <w:r w:rsidRPr="00991B78">
        <w:rPr>
          <w:rFonts w:ascii="Times New Roman" w:hAnsi="Times New Roman"/>
          <w:sz w:val="28"/>
          <w:szCs w:val="28"/>
        </w:rPr>
        <w:t xml:space="preserve"> Фонд начал прием заявок от системообразующих предприятий на предоставление финансовой поддержки в виде компенсации части процентной ставки по кредитам и займам.</w:t>
      </w:r>
      <w:r>
        <w:rPr>
          <w:rFonts w:ascii="Times New Roman" w:hAnsi="Times New Roman"/>
          <w:sz w:val="28"/>
          <w:szCs w:val="28"/>
        </w:rPr>
        <w:t xml:space="preserve"> З</w:t>
      </w:r>
      <w:r w:rsidRPr="00991B78">
        <w:rPr>
          <w:rFonts w:ascii="Times New Roman" w:hAnsi="Times New Roman"/>
          <w:sz w:val="28"/>
          <w:szCs w:val="28"/>
        </w:rPr>
        <w:t>а текущий год одобрено предоставление финансовой поддержки в виде компенсации части процентной ставки для системообразующих компаний Югры 13-ти следующим заявителям</w:t>
      </w:r>
      <w:r>
        <w:rPr>
          <w:rFonts w:ascii="Times New Roman" w:hAnsi="Times New Roman"/>
          <w:sz w:val="28"/>
          <w:szCs w:val="28"/>
        </w:rPr>
        <w:t>, с</w:t>
      </w:r>
      <w:r w:rsidRPr="00991B78">
        <w:rPr>
          <w:rFonts w:ascii="Times New Roman" w:hAnsi="Times New Roman"/>
          <w:sz w:val="28"/>
          <w:szCs w:val="28"/>
        </w:rPr>
        <w:t xml:space="preserve">овокупная фактическая поддержка системообразующих компаний Югры в виде компенсации части процентной ставки по кредитам и займам составила </w:t>
      </w:r>
      <w:r>
        <w:rPr>
          <w:rFonts w:ascii="Times New Roman" w:hAnsi="Times New Roman"/>
          <w:sz w:val="28"/>
          <w:szCs w:val="28"/>
        </w:rPr>
        <w:t>–</w:t>
      </w:r>
      <w:r w:rsidRPr="00991B78">
        <w:rPr>
          <w:rFonts w:ascii="Times New Roman" w:hAnsi="Times New Roman"/>
          <w:sz w:val="28"/>
          <w:szCs w:val="28"/>
        </w:rPr>
        <w:t xml:space="preserve"> 128</w:t>
      </w:r>
      <w:r>
        <w:rPr>
          <w:rFonts w:ascii="Times New Roman" w:hAnsi="Times New Roman"/>
          <w:sz w:val="28"/>
          <w:szCs w:val="28"/>
        </w:rPr>
        <w:t>,</w:t>
      </w:r>
      <w:r w:rsidRPr="00991B78">
        <w:rPr>
          <w:rFonts w:ascii="Times New Roman" w:hAnsi="Times New Roman"/>
          <w:sz w:val="28"/>
          <w:szCs w:val="28"/>
        </w:rPr>
        <w:t>254 </w:t>
      </w:r>
      <w:r>
        <w:rPr>
          <w:rFonts w:ascii="Times New Roman" w:hAnsi="Times New Roman"/>
          <w:sz w:val="28"/>
          <w:szCs w:val="28"/>
        </w:rPr>
        <w:t xml:space="preserve">млн. </w:t>
      </w:r>
      <w:r w:rsidRPr="00991B78">
        <w:rPr>
          <w:rFonts w:ascii="Times New Roman" w:hAnsi="Times New Roman"/>
          <w:sz w:val="28"/>
          <w:szCs w:val="28"/>
        </w:rPr>
        <w:t>рублей.</w:t>
      </w:r>
    </w:p>
    <w:p w14:paraId="4D015758" w14:textId="6D648CF0" w:rsidR="003C70A3" w:rsidRPr="00991B78" w:rsidRDefault="003C70A3" w:rsidP="003C70A3">
      <w:pPr>
        <w:tabs>
          <w:tab w:val="left" w:pos="426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991B78">
        <w:rPr>
          <w:rFonts w:ascii="Times New Roman" w:hAnsi="Times New Roman"/>
          <w:sz w:val="28"/>
          <w:szCs w:val="28"/>
        </w:rPr>
        <w:t xml:space="preserve"> 2022 год</w:t>
      </w:r>
      <w:r>
        <w:rPr>
          <w:rFonts w:ascii="Times New Roman" w:hAnsi="Times New Roman"/>
          <w:sz w:val="28"/>
          <w:szCs w:val="28"/>
        </w:rPr>
        <w:t>у</w:t>
      </w:r>
      <w:r w:rsidRPr="00991B78">
        <w:rPr>
          <w:rFonts w:ascii="Times New Roman" w:hAnsi="Times New Roman"/>
          <w:sz w:val="28"/>
          <w:szCs w:val="28"/>
        </w:rPr>
        <w:t xml:space="preserve"> Фонд начал прием заявок на предоставление финансовой поддержки в форме грантов на компенсацию части процентной ставки по кредитам субъектов промышленности Югры с целевым использованием пополнение оборотных средств.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1B78">
        <w:rPr>
          <w:rFonts w:ascii="Times New Roman" w:hAnsi="Times New Roman"/>
          <w:sz w:val="28"/>
          <w:szCs w:val="28"/>
        </w:rPr>
        <w:t xml:space="preserve">Совокупная фактическая поддержка субъектов промышленности Югры в виде грантов на компенсацию процентов по кредитам с целевым использованием пополнение оборотных средств </w:t>
      </w:r>
      <w:r>
        <w:rPr>
          <w:rFonts w:ascii="Times New Roman" w:hAnsi="Times New Roman"/>
          <w:sz w:val="28"/>
          <w:szCs w:val="28"/>
        </w:rPr>
        <w:t>составила – 48,128 млн.</w:t>
      </w:r>
      <w:r w:rsidRPr="00991B78">
        <w:rPr>
          <w:rFonts w:ascii="Times New Roman" w:hAnsi="Times New Roman"/>
          <w:sz w:val="28"/>
          <w:szCs w:val="28"/>
        </w:rPr>
        <w:t xml:space="preserve"> рублей.</w:t>
      </w:r>
    </w:p>
    <w:p w14:paraId="6CEC39B1" w14:textId="29374645" w:rsidR="003C70A3" w:rsidRPr="003C70A3" w:rsidRDefault="004610DE" w:rsidP="003C70A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Экспертным советом </w:t>
      </w:r>
      <w:r w:rsidR="003C70A3" w:rsidRPr="003C70A3">
        <w:rPr>
          <w:rFonts w:ascii="Times New Roman" w:eastAsia="Calibri" w:hAnsi="Times New Roman" w:cs="Times New Roman"/>
          <w:sz w:val="28"/>
          <w:szCs w:val="28"/>
        </w:rPr>
        <w:t>Фонд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3C70A3" w:rsidRPr="003C70A3">
        <w:rPr>
          <w:rFonts w:ascii="Times New Roman" w:eastAsia="Calibri" w:hAnsi="Times New Roman" w:cs="Times New Roman"/>
          <w:sz w:val="28"/>
          <w:szCs w:val="28"/>
        </w:rPr>
        <w:t xml:space="preserve"> был</w:t>
      </w:r>
      <w:r w:rsidR="003C70A3">
        <w:rPr>
          <w:rFonts w:ascii="Times New Roman" w:eastAsia="Calibri" w:hAnsi="Times New Roman" w:cs="Times New Roman"/>
          <w:sz w:val="28"/>
          <w:szCs w:val="28"/>
        </w:rPr>
        <w:t>и</w:t>
      </w:r>
      <w:r w:rsidR="003C70A3" w:rsidRPr="003C70A3">
        <w:rPr>
          <w:rFonts w:ascii="Times New Roman" w:eastAsia="Calibri" w:hAnsi="Times New Roman" w:cs="Times New Roman"/>
          <w:sz w:val="28"/>
          <w:szCs w:val="28"/>
        </w:rPr>
        <w:t xml:space="preserve"> рассмотрен</w:t>
      </w:r>
      <w:r w:rsidR="003C70A3">
        <w:rPr>
          <w:rFonts w:ascii="Times New Roman" w:eastAsia="Calibri" w:hAnsi="Times New Roman" w:cs="Times New Roman"/>
          <w:sz w:val="28"/>
          <w:szCs w:val="28"/>
        </w:rPr>
        <w:t>ы</w:t>
      </w:r>
      <w:r w:rsidR="003C70A3" w:rsidRPr="003C70A3">
        <w:rPr>
          <w:rFonts w:ascii="Times New Roman" w:eastAsia="Calibri" w:hAnsi="Times New Roman" w:cs="Times New Roman"/>
          <w:sz w:val="28"/>
          <w:szCs w:val="28"/>
        </w:rPr>
        <w:t xml:space="preserve"> 56 </w:t>
      </w:r>
      <w:r w:rsidR="003C70A3">
        <w:rPr>
          <w:rFonts w:ascii="Times New Roman" w:eastAsia="Calibri" w:hAnsi="Times New Roman" w:cs="Times New Roman"/>
          <w:sz w:val="28"/>
          <w:szCs w:val="28"/>
        </w:rPr>
        <w:t>заявок</w:t>
      </w:r>
      <w:r w:rsidR="003C70A3" w:rsidRPr="003C70A3">
        <w:rPr>
          <w:rFonts w:ascii="Times New Roman" w:eastAsia="Calibri" w:hAnsi="Times New Roman" w:cs="Times New Roman"/>
          <w:sz w:val="28"/>
          <w:szCs w:val="28"/>
        </w:rPr>
        <w:t xml:space="preserve">, в т.ч.: 18 – предоставление льготных займов, 19 – компенсация части процентов по кредитам, 11 – прочие вопросы (вклад в уставный капитал, </w:t>
      </w:r>
      <w:proofErr w:type="spellStart"/>
      <w:r w:rsidR="003C70A3" w:rsidRPr="003C70A3">
        <w:rPr>
          <w:rFonts w:ascii="Times New Roman" w:eastAsia="Calibri" w:hAnsi="Times New Roman" w:cs="Times New Roman"/>
          <w:sz w:val="28"/>
          <w:szCs w:val="28"/>
        </w:rPr>
        <w:t>антисанкционные</w:t>
      </w:r>
      <w:proofErr w:type="spellEnd"/>
      <w:r w:rsidR="003C70A3" w:rsidRPr="003C70A3">
        <w:rPr>
          <w:rFonts w:ascii="Times New Roman" w:eastAsia="Calibri" w:hAnsi="Times New Roman" w:cs="Times New Roman"/>
          <w:sz w:val="28"/>
          <w:szCs w:val="28"/>
        </w:rPr>
        <w:t xml:space="preserve"> меры поддержки, венчурный фонд и т.д.), 5 - изменение условий по структуре </w:t>
      </w:r>
      <w:r w:rsidR="003C70A3" w:rsidRPr="003C70A3">
        <w:rPr>
          <w:rFonts w:ascii="Times New Roman" w:eastAsia="Calibri" w:hAnsi="Times New Roman" w:cs="Times New Roman"/>
          <w:sz w:val="28"/>
          <w:szCs w:val="28"/>
        </w:rPr>
        <w:lastRenderedPageBreak/>
        <w:t>и объему обеспечений займов, 3 – гранты для субъектов туристкой инфраструктуры.</w:t>
      </w:r>
    </w:p>
    <w:p w14:paraId="7C9B0810" w14:textId="3A6311FA" w:rsidR="003C70A3" w:rsidRPr="003C70A3" w:rsidRDefault="003C70A3" w:rsidP="003C70A3">
      <w:pPr>
        <w:tabs>
          <w:tab w:val="left" w:pos="426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итогам</w:t>
      </w:r>
      <w:r w:rsidRPr="003C70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2022 </w:t>
      </w:r>
      <w:r w:rsidRPr="003C70A3">
        <w:rPr>
          <w:rFonts w:ascii="Times New Roman" w:eastAsia="Calibri" w:hAnsi="Times New Roman" w:cs="Times New Roman"/>
          <w:sz w:val="28"/>
          <w:szCs w:val="28"/>
        </w:rPr>
        <w:t xml:space="preserve">заключены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17 </w:t>
      </w:r>
      <w:r w:rsidRPr="003C70A3">
        <w:rPr>
          <w:rFonts w:ascii="Times New Roman" w:eastAsia="Calibri" w:hAnsi="Times New Roman" w:cs="Times New Roman"/>
          <w:sz w:val="28"/>
          <w:szCs w:val="28"/>
        </w:rPr>
        <w:t>договор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3C70A3">
        <w:rPr>
          <w:rFonts w:ascii="Times New Roman" w:eastAsia="Calibri" w:hAnsi="Times New Roman" w:cs="Times New Roman"/>
          <w:sz w:val="28"/>
          <w:szCs w:val="28"/>
        </w:rPr>
        <w:t xml:space="preserve"> целевого займа на общую сумму около 855 млн. рублей</w:t>
      </w:r>
      <w:r>
        <w:rPr>
          <w:rFonts w:ascii="Times New Roman" w:eastAsia="Calibri" w:hAnsi="Times New Roman" w:cs="Times New Roman"/>
          <w:sz w:val="28"/>
          <w:szCs w:val="28"/>
        </w:rPr>
        <w:t>, в</w:t>
      </w:r>
      <w:r w:rsidRPr="003C70A3">
        <w:rPr>
          <w:rFonts w:ascii="Times New Roman" w:eastAsia="Calibri" w:hAnsi="Times New Roman" w:cs="Times New Roman"/>
          <w:sz w:val="28"/>
          <w:szCs w:val="28"/>
        </w:rPr>
        <w:t xml:space="preserve"> рамках договоров целевого займа предоставлены займы/транши в количестве 13 единиц на общую сумму около 870 млн. рублей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3C70A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51DCF94" w14:textId="1756390C" w:rsidR="003C70A3" w:rsidRDefault="003C70A3" w:rsidP="003C70A3">
      <w:pPr>
        <w:tabs>
          <w:tab w:val="left" w:pos="426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bookmarkEnd w:id="0"/>
    <w:p w14:paraId="44E63B08" w14:textId="77777777" w:rsidR="003C70A3" w:rsidRPr="003C70A3" w:rsidRDefault="003C70A3" w:rsidP="00615375">
      <w:pPr>
        <w:spacing w:after="12" w:line="360" w:lineRule="auto"/>
        <w:ind w:firstLine="708"/>
        <w:jc w:val="both"/>
        <w:rPr>
          <w:rFonts w:ascii="PT Astra Serif" w:hAnsi="PT Astra Serif"/>
          <w:b/>
          <w:bCs/>
          <w:iCs/>
          <w:sz w:val="28"/>
          <w:szCs w:val="28"/>
        </w:rPr>
      </w:pPr>
      <w:r w:rsidRPr="003C70A3">
        <w:rPr>
          <w:rFonts w:ascii="PT Astra Serif" w:hAnsi="PT Astra Serif"/>
          <w:b/>
          <w:bCs/>
          <w:iCs/>
          <w:sz w:val="28"/>
          <w:szCs w:val="28"/>
        </w:rPr>
        <w:t>Инвестиционное продвижение автономного округа, взаимодействие со СМИ.</w:t>
      </w:r>
    </w:p>
    <w:p w14:paraId="0E62F387" w14:textId="77777777" w:rsidR="00581AD3" w:rsidRDefault="00581AD3" w:rsidP="00581AD3">
      <w:pPr>
        <w:spacing w:after="12"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Фонд на постоянной основе представляет (является организатором) инвестиционный и промышленный потенциал Ханты-Мансийского автономного округа – Югры на международных, российских, межрегиональных выставках, форумах, конференциях и иных мероприятиях.</w:t>
      </w:r>
    </w:p>
    <w:p w14:paraId="05254362" w14:textId="77777777" w:rsidR="00581AD3" w:rsidRDefault="00581AD3" w:rsidP="00581AD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2022 году организованы и проведены: </w:t>
      </w:r>
    </w:p>
    <w:p w14:paraId="0196C911" w14:textId="77777777" w:rsidR="00581AD3" w:rsidRDefault="00581AD3" w:rsidP="00581AD3">
      <w:pPr>
        <w:pStyle w:val="a3"/>
        <w:numPr>
          <w:ilvl w:val="0"/>
          <w:numId w:val="8"/>
        </w:numPr>
        <w:spacing w:after="0" w:line="360" w:lineRule="auto"/>
        <w:ind w:hanging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Югорские фермерские ярмарки выходного дня; </w:t>
      </w:r>
    </w:p>
    <w:p w14:paraId="10AC4913" w14:textId="77777777" w:rsidR="00581AD3" w:rsidRDefault="00581AD3" w:rsidP="00581AD3">
      <w:pPr>
        <w:pStyle w:val="a3"/>
        <w:numPr>
          <w:ilvl w:val="0"/>
          <w:numId w:val="8"/>
        </w:numPr>
        <w:spacing w:after="0" w:line="360" w:lineRule="auto"/>
        <w:ind w:hanging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Югорский промышленно-инвестиционный форум;</w:t>
      </w:r>
    </w:p>
    <w:p w14:paraId="3C7C24B6" w14:textId="77777777" w:rsidR="00581AD3" w:rsidRDefault="00581AD3" w:rsidP="00581AD3">
      <w:pPr>
        <w:pStyle w:val="a3"/>
        <w:numPr>
          <w:ilvl w:val="0"/>
          <w:numId w:val="8"/>
        </w:numPr>
        <w:spacing w:after="0" w:line="360" w:lineRule="auto"/>
        <w:ind w:hanging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выставка-ярмарка окружных товаропроизводителей «Товары земли Югорской»; </w:t>
      </w:r>
    </w:p>
    <w:p w14:paraId="0199320D" w14:textId="77777777" w:rsidR="00581AD3" w:rsidRDefault="00581AD3" w:rsidP="00581AD3">
      <w:pPr>
        <w:pStyle w:val="a3"/>
        <w:numPr>
          <w:ilvl w:val="0"/>
          <w:numId w:val="8"/>
        </w:numPr>
        <w:spacing w:after="0" w:line="360" w:lineRule="auto"/>
        <w:ind w:hanging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бизнес-миссия делегации Челябинской области в г. Ханты-Мансийск.</w:t>
      </w:r>
    </w:p>
    <w:p w14:paraId="6D21C2EF" w14:textId="77777777" w:rsidR="00581AD3" w:rsidRDefault="00581AD3" w:rsidP="00581AD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Организовано участие делегации автономного округа в мероприятиях:</w:t>
      </w:r>
    </w:p>
    <w:p w14:paraId="43403D17" w14:textId="77777777" w:rsidR="00581AD3" w:rsidRDefault="00581AD3" w:rsidP="00581AD3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Международная промышленная выставка «ИННОПРОМ. Центральная Азия» (Ташкент, Узбекистан);</w:t>
      </w:r>
    </w:p>
    <w:p w14:paraId="127480E3" w14:textId="77777777" w:rsidR="00581AD3" w:rsidRDefault="00581AD3" w:rsidP="00581AD3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Петербургский международный экономический форум (г. Санкт-Петербург); </w:t>
      </w:r>
    </w:p>
    <w:p w14:paraId="1A813CAA" w14:textId="77777777" w:rsidR="00581AD3" w:rsidRDefault="00581AD3" w:rsidP="00581AD3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Международная выставка продуктов питания и напитков «Продэкспо;</w:t>
      </w:r>
    </w:p>
    <w:p w14:paraId="6B010213" w14:textId="77777777" w:rsidR="00581AD3" w:rsidRDefault="00581AD3" w:rsidP="00581AD3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Международная промышленная выставка ИННОПРОМ (г. Екатеринбург);</w:t>
      </w:r>
    </w:p>
    <w:p w14:paraId="20B97536" w14:textId="77777777" w:rsidR="00581AD3" w:rsidRDefault="00581AD3" w:rsidP="00581AD3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Восточный экономический форум (г. Владивосток);</w:t>
      </w:r>
    </w:p>
    <w:p w14:paraId="05D25816" w14:textId="77777777" w:rsidR="00581AD3" w:rsidRDefault="00581AD3" w:rsidP="00581AD3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Петербургский международный газовый форум (г. Санкт-Петербург);</w:t>
      </w:r>
    </w:p>
    <w:p w14:paraId="7189F1B2" w14:textId="77777777" w:rsidR="00581AD3" w:rsidRDefault="00581AD3" w:rsidP="00581AD3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Международная специализированная выставка «Дорога» (г. Казань). </w:t>
      </w:r>
    </w:p>
    <w:p w14:paraId="540A3239" w14:textId="77777777" w:rsidR="00581AD3" w:rsidRDefault="00581AD3" w:rsidP="00581AD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федеральных, региональных, муниципальных, печатных и электронных СМИ (включая ТВ и радио) опубликовано 2957 информационных материала об инвестиционном и промышленном развитии региона, развитии туризма и агропромышленного комплекса (по данным системы СКАН-Интерфакс), включая деятельность Фонда, на официальном сайте Фонда размещено 264 публикации, в аккаунтах социальных сетей Фонда и Инвестиционного портала размещено 2567 постов.</w:t>
      </w:r>
    </w:p>
    <w:p w14:paraId="26359897" w14:textId="77777777" w:rsidR="00581AD3" w:rsidRDefault="00581AD3" w:rsidP="00581AD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того, осуществлен комплекс мероприятий по модернизации инвестиционного портала автономного округа (обновленный интерфейс в стиле </w:t>
      </w:r>
      <w:proofErr w:type="spellStart"/>
      <w:r>
        <w:rPr>
          <w:rFonts w:ascii="Times New Roman" w:hAnsi="Times New Roman"/>
          <w:sz w:val="28"/>
          <w:szCs w:val="28"/>
        </w:rPr>
        <w:t>инвестбренда</w:t>
      </w:r>
      <w:proofErr w:type="spellEnd"/>
      <w:r>
        <w:rPr>
          <w:rFonts w:ascii="Times New Roman" w:hAnsi="Times New Roman"/>
          <w:sz w:val="28"/>
          <w:szCs w:val="28"/>
        </w:rPr>
        <w:t xml:space="preserve">, модернизация функционала сайта), инвестиционной карте региона, регистрации инвестиционного бренда </w:t>
      </w:r>
      <w:r>
        <w:rPr>
          <w:rFonts w:ascii="Times New Roman" w:hAnsi="Times New Roman"/>
          <w:sz w:val="28"/>
          <w:szCs w:val="28"/>
          <w:lang w:val="en-US"/>
        </w:rPr>
        <w:t>UGRA</w:t>
      </w:r>
      <w:r w:rsidRPr="00581A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OPEN</w:t>
      </w:r>
      <w:r w:rsidRPr="00581A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FOR</w:t>
      </w:r>
      <w:r w:rsidRPr="00581A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Роспатенте.  </w:t>
      </w:r>
    </w:p>
    <w:p w14:paraId="2F6E4225" w14:textId="77777777" w:rsidR="00581AD3" w:rsidRDefault="00581AD3" w:rsidP="00581AD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0E56C2E1" w14:textId="7DF0F921" w:rsidR="00F60AF6" w:rsidRPr="00165D19" w:rsidRDefault="00F60AF6" w:rsidP="00F60AF6">
      <w:pPr>
        <w:pStyle w:val="a3"/>
        <w:tabs>
          <w:tab w:val="left" w:pos="1134"/>
        </w:tabs>
        <w:spacing w:after="0" w:line="360" w:lineRule="auto"/>
        <w:ind w:left="0"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165D19">
        <w:rPr>
          <w:rFonts w:ascii="PT Astra Serif" w:hAnsi="PT Astra Serif" w:cs="Times New Roman"/>
          <w:b/>
          <w:sz w:val="28"/>
          <w:szCs w:val="28"/>
        </w:rPr>
        <w:t>Центр компетенции в сфере туризма.</w:t>
      </w:r>
    </w:p>
    <w:p w14:paraId="10959415" w14:textId="3CE4C31E" w:rsidR="008339BD" w:rsidRDefault="008339BD" w:rsidP="008339BD">
      <w:pPr>
        <w:spacing w:after="12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 2022 году продолжилась работа по развитию информационной системы «Единая цифровая туристическая платформа Югры» (далее- Платформа).</w:t>
      </w:r>
      <w:r w:rsidR="00BA17C5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Произведены работы по модернизации функционала Платформы, направленные на увеличение удобства пользователей компонентов «Региональный туристский портал», «Личный кабинет для организаций».</w:t>
      </w:r>
      <w:r w:rsidR="00BA17C5">
        <w:rPr>
          <w:rFonts w:ascii="PT Astra Serif" w:hAnsi="PT Astra Serif" w:cs="Times New Roman"/>
          <w:sz w:val="28"/>
          <w:szCs w:val="28"/>
        </w:rPr>
        <w:t xml:space="preserve"> Н</w:t>
      </w:r>
      <w:r>
        <w:rPr>
          <w:rFonts w:ascii="PT Astra Serif" w:hAnsi="PT Astra Serif" w:cs="Times New Roman"/>
          <w:sz w:val="28"/>
          <w:szCs w:val="28"/>
        </w:rPr>
        <w:t>а Платформе зарегистрировано 338 пользователей личного кабинета, размещено 429 объектов, 472 мероприятия, 23 тура.</w:t>
      </w:r>
    </w:p>
    <w:p w14:paraId="555EAE69" w14:textId="77777777" w:rsidR="008339BD" w:rsidRDefault="008339BD" w:rsidP="008339BD">
      <w:pPr>
        <w:spacing w:after="12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Презентация кейса Платформы была проведена на 5 площадках (под эгидой Ростуризма и экспертной площадки </w:t>
      </w:r>
      <w:proofErr w:type="spellStart"/>
      <w:r>
        <w:rPr>
          <w:rFonts w:ascii="PT Astra Serif" w:hAnsi="PT Astra Serif" w:cs="Times New Roman"/>
          <w:sz w:val="28"/>
          <w:szCs w:val="28"/>
        </w:rPr>
        <w:t>НААИР.Туризм</w:t>
      </w:r>
      <w:proofErr w:type="spellEnd"/>
      <w:r>
        <w:rPr>
          <w:rFonts w:ascii="PT Astra Serif" w:hAnsi="PT Astra Serif" w:cs="Times New Roman"/>
          <w:sz w:val="28"/>
          <w:szCs w:val="28"/>
        </w:rPr>
        <w:t>), в том числе в очном формате.</w:t>
      </w:r>
    </w:p>
    <w:p w14:paraId="2C55E89C" w14:textId="77777777" w:rsidR="008339BD" w:rsidRDefault="008339BD" w:rsidP="008339BD">
      <w:pPr>
        <w:spacing w:after="12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lastRenderedPageBreak/>
        <w:t>В целях поддержки развития инфраструктурных проектов разработан Порядок финансовой поддержки в форме грантов на развитие туристской инфраструктуры и совершенствование туристских услуг.</w:t>
      </w:r>
    </w:p>
    <w:p w14:paraId="76C962D0" w14:textId="081D9296" w:rsidR="008339BD" w:rsidRDefault="008339BD" w:rsidP="008339BD">
      <w:pPr>
        <w:spacing w:after="12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В соответствии с Порядком проведен конкурсный отбор и заключены 3 соглашения о предоставлении финансовой поддержки на реализацию проектов в сфере туризма на общую сумму 7,5 </w:t>
      </w:r>
      <w:proofErr w:type="spellStart"/>
      <w:r>
        <w:rPr>
          <w:rFonts w:ascii="PT Astra Serif" w:hAnsi="PT Astra Serif" w:cs="Times New Roman"/>
          <w:sz w:val="28"/>
          <w:szCs w:val="28"/>
        </w:rPr>
        <w:t>млн.руб</w:t>
      </w:r>
      <w:proofErr w:type="spellEnd"/>
      <w:r>
        <w:rPr>
          <w:rFonts w:ascii="PT Astra Serif" w:hAnsi="PT Astra Serif" w:cs="Times New Roman"/>
          <w:sz w:val="28"/>
          <w:szCs w:val="28"/>
        </w:rPr>
        <w:t>.</w:t>
      </w:r>
    </w:p>
    <w:p w14:paraId="26E0C3F8" w14:textId="77777777" w:rsidR="008339BD" w:rsidRDefault="008339BD" w:rsidP="008339BD">
      <w:pPr>
        <w:spacing w:after="12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Сумма софинансирования по данным проектам со стороны грантополучателей составила 3,5 </w:t>
      </w:r>
      <w:proofErr w:type="spellStart"/>
      <w:r>
        <w:rPr>
          <w:rFonts w:ascii="PT Astra Serif" w:hAnsi="PT Astra Serif" w:cs="Times New Roman"/>
          <w:sz w:val="28"/>
          <w:szCs w:val="28"/>
        </w:rPr>
        <w:t>млн.руб</w:t>
      </w:r>
      <w:proofErr w:type="spellEnd"/>
      <w:r>
        <w:rPr>
          <w:rFonts w:ascii="PT Astra Serif" w:hAnsi="PT Astra Serif" w:cs="Times New Roman"/>
          <w:sz w:val="28"/>
          <w:szCs w:val="28"/>
        </w:rPr>
        <w:t>.</w:t>
      </w:r>
    </w:p>
    <w:p w14:paraId="17CAC50E" w14:textId="77777777" w:rsidR="008339BD" w:rsidRDefault="008339BD" w:rsidP="008339BD">
      <w:pPr>
        <w:spacing w:after="12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 рамках тиражирования туристских возможностей автономного округа проведены 15 презентационных мероприятий:</w:t>
      </w:r>
    </w:p>
    <w:p w14:paraId="58F67A42" w14:textId="33BE3B79" w:rsidR="008339BD" w:rsidRDefault="008339BD" w:rsidP="008339BD">
      <w:pPr>
        <w:spacing w:after="12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презентация в офисе «</w:t>
      </w:r>
      <w:r>
        <w:rPr>
          <w:rFonts w:ascii="PT Astra Serif" w:hAnsi="PT Astra Serif" w:cs="Times New Roman"/>
          <w:sz w:val="28"/>
          <w:szCs w:val="28"/>
          <w:lang w:val="en-US"/>
        </w:rPr>
        <w:t>VisitUgra</w:t>
      </w:r>
      <w:r>
        <w:rPr>
          <w:rFonts w:ascii="PT Astra Serif" w:hAnsi="PT Astra Serif" w:cs="Times New Roman"/>
          <w:sz w:val="28"/>
          <w:szCs w:val="28"/>
        </w:rPr>
        <w:t>» туристских возможностей Югры для членов делегации Республики Молдова</w:t>
      </w:r>
      <w:r w:rsidR="00BA17C5">
        <w:rPr>
          <w:rFonts w:ascii="PT Astra Serif" w:hAnsi="PT Astra Serif" w:cs="Times New Roman"/>
          <w:sz w:val="28"/>
          <w:szCs w:val="28"/>
        </w:rPr>
        <w:t>;</w:t>
      </w:r>
    </w:p>
    <w:p w14:paraId="02BD1D75" w14:textId="224CCBCE" w:rsidR="008339BD" w:rsidRDefault="008339BD" w:rsidP="008339BD">
      <w:pPr>
        <w:spacing w:after="12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презентации туристских возможностей и программ на площадке Академии Ассоциации туроператоров России</w:t>
      </w:r>
      <w:r w:rsidR="00BA17C5">
        <w:rPr>
          <w:rFonts w:ascii="PT Astra Serif" w:hAnsi="PT Astra Serif" w:cs="Times New Roman"/>
          <w:sz w:val="28"/>
          <w:szCs w:val="28"/>
        </w:rPr>
        <w:t>;</w:t>
      </w:r>
    </w:p>
    <w:p w14:paraId="2C1FBF10" w14:textId="0A0A95FA" w:rsidR="008339BD" w:rsidRDefault="008339BD" w:rsidP="008339BD">
      <w:pPr>
        <w:spacing w:after="12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презентация туристского потенциала Югры в рамках индивидуального стенда Ханты-Мансийского автономного округа – Югры на международной туристской выставке «</w:t>
      </w:r>
      <w:proofErr w:type="spellStart"/>
      <w:r>
        <w:rPr>
          <w:rFonts w:ascii="PT Astra Serif" w:hAnsi="PT Astra Serif" w:cs="Times New Roman"/>
          <w:sz w:val="28"/>
          <w:szCs w:val="28"/>
        </w:rPr>
        <w:t>Интурмаркет</w:t>
      </w:r>
      <w:proofErr w:type="spellEnd"/>
      <w:r>
        <w:rPr>
          <w:rFonts w:ascii="PT Astra Serif" w:hAnsi="PT Astra Serif" w:cs="Times New Roman"/>
          <w:sz w:val="28"/>
          <w:szCs w:val="28"/>
        </w:rPr>
        <w:t xml:space="preserve"> – 2022». Работа стенда организована совместно с Управлением туризма Департамента промышленности</w:t>
      </w:r>
      <w:r>
        <w:rPr>
          <w:rFonts w:ascii="PT Astra Serif" w:hAnsi="PT Astra Serif" w:cs="Times New Roman"/>
          <w:sz w:val="28"/>
          <w:szCs w:val="28"/>
        </w:rPr>
        <w:br/>
        <w:t>Ханты-Мансийского автономного округа – Югры (г. Москва)</w:t>
      </w:r>
      <w:r w:rsidR="00BA17C5">
        <w:rPr>
          <w:rFonts w:ascii="PT Astra Serif" w:hAnsi="PT Astra Serif" w:cs="Times New Roman"/>
          <w:sz w:val="28"/>
          <w:szCs w:val="28"/>
        </w:rPr>
        <w:t>;</w:t>
      </w:r>
    </w:p>
    <w:p w14:paraId="58F18D13" w14:textId="49B58D1D" w:rsidR="008339BD" w:rsidRDefault="008339BD" w:rsidP="008339BD">
      <w:pPr>
        <w:spacing w:after="12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участие с индивидуальным стендом в рамках Международного форума-выставки по туризму «Отдых» (г. Москва)</w:t>
      </w:r>
      <w:r w:rsidR="00BA17C5">
        <w:rPr>
          <w:rFonts w:ascii="PT Astra Serif" w:hAnsi="PT Astra Serif" w:cs="Times New Roman"/>
          <w:sz w:val="28"/>
          <w:szCs w:val="28"/>
        </w:rPr>
        <w:t>;</w:t>
      </w:r>
    </w:p>
    <w:p w14:paraId="45BDEE97" w14:textId="1731ED28" w:rsidR="008339BD" w:rsidRDefault="008339BD" w:rsidP="008339BD">
      <w:pPr>
        <w:spacing w:after="12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презентация практики Югры по внедрению цифровых инструментов развития отрасли в рамках конференции Intelligent Travel Marketing</w:t>
      </w:r>
      <w:r w:rsidR="00BA17C5">
        <w:rPr>
          <w:rFonts w:ascii="PT Astra Serif" w:hAnsi="PT Astra Serif" w:cs="Times New Roman"/>
          <w:sz w:val="28"/>
          <w:szCs w:val="28"/>
        </w:rPr>
        <w:t>;</w:t>
      </w:r>
    </w:p>
    <w:p w14:paraId="2276E4C8" w14:textId="1DEB4C54" w:rsidR="008339BD" w:rsidRDefault="008339BD" w:rsidP="008339BD">
      <w:pPr>
        <w:spacing w:after="12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презентация туристского потенциала, функциональных возможностей Единой цифровой туристской платформы Югры (в ходе международной промышленной выставки «</w:t>
      </w:r>
      <w:proofErr w:type="spellStart"/>
      <w:r>
        <w:rPr>
          <w:rFonts w:ascii="PT Astra Serif" w:hAnsi="PT Astra Serif" w:cs="Times New Roman"/>
          <w:sz w:val="28"/>
          <w:szCs w:val="28"/>
        </w:rPr>
        <w:t>Иннопром</w:t>
      </w:r>
      <w:proofErr w:type="spellEnd"/>
      <w:r>
        <w:rPr>
          <w:rFonts w:ascii="PT Astra Serif" w:hAnsi="PT Astra Serif" w:cs="Times New Roman"/>
          <w:sz w:val="28"/>
          <w:szCs w:val="28"/>
        </w:rPr>
        <w:t>. Центральная Азия»)</w:t>
      </w:r>
      <w:r w:rsidR="00BA17C5">
        <w:rPr>
          <w:rFonts w:ascii="PT Astra Serif" w:hAnsi="PT Astra Serif" w:cs="Times New Roman"/>
          <w:sz w:val="28"/>
          <w:szCs w:val="28"/>
        </w:rPr>
        <w:t>;</w:t>
      </w:r>
    </w:p>
    <w:p w14:paraId="4633A2E6" w14:textId="21BEDD26" w:rsidR="008339BD" w:rsidRDefault="008339BD" w:rsidP="008339BD">
      <w:pPr>
        <w:spacing w:after="12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презентация туристских возможностей Югры для экспертов и сотрудников Проектного офиса по развитию туризма и гостеприимства Москвы</w:t>
      </w:r>
      <w:r w:rsidR="00BA17C5">
        <w:rPr>
          <w:rFonts w:ascii="PT Astra Serif" w:hAnsi="PT Astra Serif" w:cs="Times New Roman"/>
          <w:sz w:val="28"/>
          <w:szCs w:val="28"/>
        </w:rPr>
        <w:t>;</w:t>
      </w:r>
    </w:p>
    <w:p w14:paraId="45FD2E04" w14:textId="78837DE9" w:rsidR="008339BD" w:rsidRDefault="008339BD" w:rsidP="008339BD">
      <w:pPr>
        <w:spacing w:after="12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lastRenderedPageBreak/>
        <w:t>- презентация туристских возможностей в рамках международной промышленной выставки «</w:t>
      </w:r>
      <w:proofErr w:type="spellStart"/>
      <w:r>
        <w:rPr>
          <w:rFonts w:ascii="PT Astra Serif" w:hAnsi="PT Astra Serif" w:cs="Times New Roman"/>
          <w:sz w:val="28"/>
          <w:szCs w:val="28"/>
        </w:rPr>
        <w:t>Иннопром</w:t>
      </w:r>
      <w:proofErr w:type="spellEnd"/>
      <w:r>
        <w:rPr>
          <w:rFonts w:ascii="PT Astra Serif" w:hAnsi="PT Astra Serif" w:cs="Times New Roman"/>
          <w:sz w:val="28"/>
          <w:szCs w:val="28"/>
        </w:rPr>
        <w:t>- 2022» (г. Екатеринбург)</w:t>
      </w:r>
      <w:r w:rsidR="00BA17C5">
        <w:rPr>
          <w:rFonts w:ascii="PT Astra Serif" w:hAnsi="PT Astra Serif" w:cs="Times New Roman"/>
          <w:sz w:val="28"/>
          <w:szCs w:val="28"/>
        </w:rPr>
        <w:t>;</w:t>
      </w:r>
    </w:p>
    <w:p w14:paraId="1CDB2ED7" w14:textId="0AA72250" w:rsidR="008339BD" w:rsidRDefault="008339BD" w:rsidP="008339BD">
      <w:pPr>
        <w:spacing w:after="12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презентация туристских возможностей Югры в рамках «Дней регионов России в Египте» (г. Каир)</w:t>
      </w:r>
      <w:r w:rsidR="00BA17C5">
        <w:rPr>
          <w:rFonts w:ascii="PT Astra Serif" w:hAnsi="PT Astra Serif" w:cs="Times New Roman"/>
          <w:sz w:val="28"/>
          <w:szCs w:val="28"/>
        </w:rPr>
        <w:t>;</w:t>
      </w:r>
    </w:p>
    <w:p w14:paraId="1FA0AA5A" w14:textId="3AB2D725" w:rsidR="008339BD" w:rsidRDefault="008339BD" w:rsidP="008339BD">
      <w:pPr>
        <w:spacing w:after="12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презентация туристских возможностей Югры в рамках серии вебинаров о туризме в регионах АНО «Россия - страна возможностей»</w:t>
      </w:r>
      <w:r w:rsidR="00BA17C5">
        <w:rPr>
          <w:rFonts w:ascii="PT Astra Serif" w:hAnsi="PT Astra Serif" w:cs="Times New Roman"/>
          <w:sz w:val="28"/>
          <w:szCs w:val="28"/>
        </w:rPr>
        <w:t>;</w:t>
      </w:r>
    </w:p>
    <w:p w14:paraId="71B3F3AB" w14:textId="72B4CF11" w:rsidR="008339BD" w:rsidRDefault="008339BD" w:rsidP="008339BD">
      <w:pPr>
        <w:spacing w:after="12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презентация потенциала и возможностей развития медицинского туризма представлены в рамках индивидуального стенда на Международной выставке «</w:t>
      </w:r>
      <w:proofErr w:type="spellStart"/>
      <w:r>
        <w:rPr>
          <w:rFonts w:ascii="PT Astra Serif" w:hAnsi="PT Astra Serif" w:cs="Times New Roman"/>
          <w:sz w:val="28"/>
          <w:szCs w:val="28"/>
          <w:lang w:val="en-US"/>
        </w:rPr>
        <w:t>MedTravelExpo</w:t>
      </w:r>
      <w:proofErr w:type="spellEnd"/>
      <w:r>
        <w:rPr>
          <w:rFonts w:ascii="PT Astra Serif" w:hAnsi="PT Astra Serif" w:cs="Times New Roman"/>
          <w:sz w:val="28"/>
          <w:szCs w:val="28"/>
        </w:rPr>
        <w:t>. Санатории. Курорты. Медицинские центры» (г. Москва)</w:t>
      </w:r>
      <w:r w:rsidR="00BA17C5">
        <w:rPr>
          <w:rFonts w:ascii="PT Astra Serif" w:hAnsi="PT Astra Serif" w:cs="Times New Roman"/>
          <w:sz w:val="28"/>
          <w:szCs w:val="28"/>
        </w:rPr>
        <w:t>;</w:t>
      </w:r>
    </w:p>
    <w:p w14:paraId="1F97D112" w14:textId="32438ED7" w:rsidR="008339BD" w:rsidRDefault="008339BD" w:rsidP="008339BD">
      <w:pPr>
        <w:spacing w:after="12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презентация туристских возможностей Югры во время «Дня Югры» на Российской неделе здравоохранения (г. Москва)</w:t>
      </w:r>
      <w:r w:rsidR="00BA17C5">
        <w:rPr>
          <w:rFonts w:ascii="PT Astra Serif" w:hAnsi="PT Astra Serif" w:cs="Times New Roman"/>
          <w:sz w:val="28"/>
          <w:szCs w:val="28"/>
        </w:rPr>
        <w:t>;</w:t>
      </w:r>
    </w:p>
    <w:p w14:paraId="06E62060" w14:textId="3C6F7CB1" w:rsidR="008339BD" w:rsidRDefault="008339BD" w:rsidP="008339BD">
      <w:pPr>
        <w:spacing w:after="12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Вместе с тем организованы 2 пресс-тура, в которых приняли участие представители следующих изданий: «Вокруг света»; «</w:t>
      </w:r>
      <w:r>
        <w:rPr>
          <w:rFonts w:ascii="PT Astra Serif" w:hAnsi="PT Astra Serif" w:cs="Times New Roman"/>
          <w:sz w:val="28"/>
          <w:szCs w:val="28"/>
          <w:lang w:val="en-US"/>
        </w:rPr>
        <w:t>Russian</w:t>
      </w:r>
      <w:r w:rsidRPr="008339BD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  <w:lang w:val="en-US"/>
        </w:rPr>
        <w:t>Traveler</w:t>
      </w:r>
      <w:r>
        <w:rPr>
          <w:rFonts w:ascii="PT Astra Serif" w:hAnsi="PT Astra Serif" w:cs="Times New Roman"/>
          <w:sz w:val="28"/>
          <w:szCs w:val="28"/>
        </w:rPr>
        <w:t>»; «Известия»; «</w:t>
      </w:r>
      <w:proofErr w:type="spellStart"/>
      <w:r>
        <w:rPr>
          <w:rFonts w:ascii="PT Astra Serif" w:hAnsi="PT Astra Serif" w:cs="Times New Roman"/>
          <w:sz w:val="28"/>
          <w:szCs w:val="28"/>
        </w:rPr>
        <w:t>Туристер</w:t>
      </w:r>
      <w:proofErr w:type="spellEnd"/>
      <w:r>
        <w:rPr>
          <w:rFonts w:ascii="PT Astra Serif" w:hAnsi="PT Astra Serif" w:cs="Times New Roman"/>
          <w:sz w:val="28"/>
          <w:szCs w:val="28"/>
        </w:rPr>
        <w:t>»; «РИА Новости»; «Бортовой журнал а/к «Аэрофлот», «Бортовой журнал а/к «Россия»; «Сноб», «Высокий Полет», «Discovery» (Russia), «Travel-Russia» и блогосферы.</w:t>
      </w:r>
      <w:r w:rsidR="00BA17C5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Итогам пресс-туров стали 211 публикаций в СМИ и социальных сетях с суммарным охватом более 5,1 млн. просмотров.</w:t>
      </w:r>
    </w:p>
    <w:p w14:paraId="4574A74A" w14:textId="77777777" w:rsidR="008339BD" w:rsidRDefault="008339BD" w:rsidP="008339BD">
      <w:pPr>
        <w:spacing w:after="12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Кроме того, обеспечено изготовление видеоконтента (проморолики) по тематикам: «Рыбалка в Югре», «Медицинский туризм», «Акселератор туристских проектов -2022».</w:t>
      </w:r>
    </w:p>
    <w:p w14:paraId="2742A65D" w14:textId="77777777" w:rsidR="008339BD" w:rsidRDefault="008339BD" w:rsidP="008339BD">
      <w:pPr>
        <w:spacing w:after="12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Материалы о туристских возможностях Югры размещены на тематическом лэндинге, созданном Федеральным агентством по туризму Российской Федерации - </w:t>
      </w:r>
      <w:hyperlink r:id="rId8" w:history="1">
        <w:r>
          <w:rPr>
            <w:rStyle w:val="ab"/>
            <w:rFonts w:ascii="PT Astra Serif" w:hAnsi="PT Astra Serif" w:cs="Times New Roman"/>
            <w:sz w:val="28"/>
            <w:szCs w:val="28"/>
          </w:rPr>
          <w:t>https://city.russia.travel/auto/hmao</w:t>
        </w:r>
      </w:hyperlink>
      <w:r>
        <w:rPr>
          <w:rStyle w:val="ab"/>
          <w:rFonts w:ascii="PT Astra Serif" w:hAnsi="PT Astra Serif" w:cs="Times New Roman"/>
          <w:sz w:val="28"/>
          <w:szCs w:val="28"/>
        </w:rPr>
        <w:t xml:space="preserve">, </w:t>
      </w:r>
      <w:r>
        <w:rPr>
          <w:rFonts w:ascii="PT Astra Serif" w:hAnsi="PT Astra Serif" w:cs="Times New Roman"/>
          <w:sz w:val="28"/>
          <w:szCs w:val="28"/>
        </w:rPr>
        <w:t xml:space="preserve">а также в специальном разделе маркет-плейса </w:t>
      </w:r>
      <w:hyperlink r:id="rId9" w:history="1">
        <w:proofErr w:type="spellStart"/>
        <w:r>
          <w:rPr>
            <w:rStyle w:val="ab"/>
            <w:rFonts w:ascii="PT Astra Serif" w:hAnsi="PT Astra Serif" w:cs="Times New Roman"/>
            <w:sz w:val="28"/>
            <w:szCs w:val="28"/>
            <w:lang w:val="en-US"/>
          </w:rPr>
          <w:t>Willdberries</w:t>
        </w:r>
        <w:proofErr w:type="spellEnd"/>
        <w:r>
          <w:rPr>
            <w:rStyle w:val="ab"/>
            <w:rFonts w:ascii="PT Astra Serif" w:hAnsi="PT Astra Serif" w:cs="Times New Roman"/>
            <w:sz w:val="28"/>
            <w:szCs w:val="28"/>
          </w:rPr>
          <w:t>.</w:t>
        </w:r>
        <w:r>
          <w:rPr>
            <w:rStyle w:val="ab"/>
            <w:rFonts w:ascii="PT Astra Serif" w:hAnsi="PT Astra Serif" w:cs="Times New Roman"/>
            <w:sz w:val="28"/>
            <w:szCs w:val="28"/>
            <w:lang w:val="en-US"/>
          </w:rPr>
          <w:t>Travel</w:t>
        </w:r>
      </w:hyperlink>
      <w:r>
        <w:rPr>
          <w:rFonts w:ascii="PT Astra Serif" w:hAnsi="PT Astra Serif" w:cs="Times New Roman"/>
          <w:sz w:val="28"/>
          <w:szCs w:val="28"/>
        </w:rPr>
        <w:t>.</w:t>
      </w:r>
    </w:p>
    <w:p w14:paraId="42F50784" w14:textId="77777777" w:rsidR="008339BD" w:rsidRDefault="008339BD" w:rsidP="008339BD">
      <w:pPr>
        <w:spacing w:after="12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Также сотрудниками Центра обеспечена организация съемочного процесса телепередач:</w:t>
      </w:r>
    </w:p>
    <w:p w14:paraId="6C7F667E" w14:textId="12AD4755" w:rsidR="008339BD" w:rsidRDefault="008339BD" w:rsidP="008339BD">
      <w:pPr>
        <w:spacing w:after="12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lastRenderedPageBreak/>
        <w:t xml:space="preserve">1. «Прогулки по неизвестной России </w:t>
      </w:r>
      <w:proofErr w:type="gramStart"/>
      <w:r w:rsidR="00177130">
        <w:rPr>
          <w:rFonts w:ascii="PT Astra Serif" w:hAnsi="PT Astra Serif" w:cs="Times New Roman"/>
          <w:sz w:val="28"/>
          <w:szCs w:val="28"/>
        </w:rPr>
        <w:t>и Невероятно</w:t>
      </w:r>
      <w:proofErr w:type="gramEnd"/>
      <w:r>
        <w:rPr>
          <w:rFonts w:ascii="PT Astra Serif" w:hAnsi="PT Astra Serif" w:cs="Times New Roman"/>
          <w:sz w:val="28"/>
          <w:szCs w:val="28"/>
        </w:rPr>
        <w:t xml:space="preserve"> интересные истории» (телеканал «</w:t>
      </w:r>
      <w:proofErr w:type="spellStart"/>
      <w:r>
        <w:rPr>
          <w:rFonts w:ascii="PT Astra Serif" w:hAnsi="PT Astra Serif" w:cs="Times New Roman"/>
          <w:sz w:val="28"/>
          <w:szCs w:val="28"/>
        </w:rPr>
        <w:t>РенТВ</w:t>
      </w:r>
      <w:proofErr w:type="spellEnd"/>
      <w:r>
        <w:rPr>
          <w:rFonts w:ascii="PT Astra Serif" w:hAnsi="PT Astra Serif" w:cs="Times New Roman"/>
          <w:sz w:val="28"/>
          <w:szCs w:val="28"/>
        </w:rPr>
        <w:t>»);</w:t>
      </w:r>
    </w:p>
    <w:p w14:paraId="6E8BDB4B" w14:textId="0B855CFE" w:rsidR="008339BD" w:rsidRDefault="008339BD" w:rsidP="008339BD">
      <w:pPr>
        <w:spacing w:after="12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2. «Неизвестные маршруты России» (телеканал «Культура»);</w:t>
      </w:r>
    </w:p>
    <w:p w14:paraId="35750D48" w14:textId="37F1F53D" w:rsidR="008339BD" w:rsidRPr="00BA17C5" w:rsidRDefault="008339BD" w:rsidP="008339BD">
      <w:pPr>
        <w:spacing w:after="12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3. «Ханты-</w:t>
      </w:r>
      <w:r w:rsidRPr="00BA17C5">
        <w:rPr>
          <w:rFonts w:ascii="PT Astra Serif" w:hAnsi="PT Astra Serif" w:cs="Times New Roman"/>
          <w:sz w:val="28"/>
          <w:szCs w:val="28"/>
        </w:rPr>
        <w:t xml:space="preserve">Мансийск. Родина чемпионов» Специальный репортаж Ильи </w:t>
      </w:r>
      <w:proofErr w:type="spellStart"/>
      <w:r w:rsidRPr="00BA17C5">
        <w:rPr>
          <w:rFonts w:ascii="PT Astra Serif" w:hAnsi="PT Astra Serif" w:cs="Times New Roman"/>
          <w:sz w:val="28"/>
          <w:szCs w:val="28"/>
        </w:rPr>
        <w:t>Трифанова</w:t>
      </w:r>
      <w:proofErr w:type="spellEnd"/>
      <w:r w:rsidRPr="00BA17C5">
        <w:rPr>
          <w:rFonts w:ascii="PT Astra Serif" w:hAnsi="PT Astra Serif" w:cs="Times New Roman"/>
          <w:sz w:val="28"/>
          <w:szCs w:val="28"/>
        </w:rPr>
        <w:t xml:space="preserve"> (телеканал «Матч ТВ»).</w:t>
      </w:r>
    </w:p>
    <w:p w14:paraId="0AC37C97" w14:textId="2D3E671E" w:rsidR="008339BD" w:rsidRPr="00BA17C5" w:rsidRDefault="008339BD" w:rsidP="008339BD">
      <w:pPr>
        <w:spacing w:after="12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A17C5">
        <w:rPr>
          <w:rFonts w:ascii="PT Astra Serif" w:hAnsi="PT Astra Serif" w:cs="Times New Roman"/>
          <w:sz w:val="28"/>
          <w:szCs w:val="28"/>
        </w:rPr>
        <w:t>С 27 сентября обеспечено сопровождение медиаконтентом о туристских возможностях Югры выставочного проекта «Сердце Югры», а также распространение печатной продукции в 5 туристских информационных центрах г. Москвы. Проект локализуется в павильоне «Космос» г. Москва, ВДНХ.</w:t>
      </w:r>
    </w:p>
    <w:p w14:paraId="088F5B17" w14:textId="17414C6A" w:rsidR="008339BD" w:rsidRPr="00BA17C5" w:rsidRDefault="008339BD" w:rsidP="008339BD">
      <w:pPr>
        <w:spacing w:after="12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A17C5">
        <w:rPr>
          <w:rFonts w:ascii="PT Astra Serif" w:hAnsi="PT Astra Serif" w:cs="Times New Roman"/>
          <w:sz w:val="28"/>
          <w:szCs w:val="28"/>
        </w:rPr>
        <w:t>В целях развития конкурентной среды в сфере туризма и увеличения осведомленности субъектов бизнеса о современных трендах развития отрасли проведены 17 обучающих мероприятий, в которых приняли участие 320 человек</w:t>
      </w:r>
      <w:r w:rsidR="00BA17C5" w:rsidRPr="00BA17C5">
        <w:rPr>
          <w:rFonts w:ascii="PT Astra Serif" w:hAnsi="PT Astra Serif" w:cs="Times New Roman"/>
          <w:sz w:val="28"/>
          <w:szCs w:val="28"/>
        </w:rPr>
        <w:t>.</w:t>
      </w:r>
    </w:p>
    <w:p w14:paraId="395C0DA8" w14:textId="4E06B6C6" w:rsidR="008339BD" w:rsidRDefault="008339BD" w:rsidP="008339BD">
      <w:pPr>
        <w:spacing w:after="12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Обеспечена реализация образовательного туристского проекта «Город открытий»: 25-28 августа 2022 года организована поездка школьников 10-11 классов г. Когалым в г. Москва.</w:t>
      </w:r>
    </w:p>
    <w:p w14:paraId="6EA71536" w14:textId="77777777" w:rsidR="008339BD" w:rsidRDefault="008339BD" w:rsidP="008339BD">
      <w:pPr>
        <w:spacing w:after="12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Организовано проведение исследования по определению емкости и потенциала роста рынка гостиничных услуг и анализ реализуемых мер поддержки для создания/модернизации туристской инфраструктуры.</w:t>
      </w:r>
    </w:p>
    <w:p w14:paraId="1AE5A3FE" w14:textId="1C965608" w:rsidR="008339BD" w:rsidRDefault="008339BD" w:rsidP="008339BD">
      <w:pPr>
        <w:spacing w:after="12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 2022 году подписано соглашение о развитии туризма на территории автономного округа и продвижении автономного округа на внутреннем и международном туристских рынках с АО «</w:t>
      </w:r>
      <w:proofErr w:type="spellStart"/>
      <w:r>
        <w:rPr>
          <w:rFonts w:ascii="PT Astra Serif" w:hAnsi="PT Astra Serif" w:cs="Times New Roman"/>
          <w:sz w:val="28"/>
          <w:szCs w:val="28"/>
        </w:rPr>
        <w:t>Диджитс</w:t>
      </w:r>
      <w:proofErr w:type="spellEnd"/>
      <w:r>
        <w:rPr>
          <w:rFonts w:ascii="PT Astra Serif" w:hAnsi="PT Astra Serif" w:cs="Times New Roman"/>
          <w:sz w:val="28"/>
          <w:szCs w:val="28"/>
        </w:rPr>
        <w:t>».</w:t>
      </w:r>
    </w:p>
    <w:p w14:paraId="4BDF9606" w14:textId="19E18829" w:rsidR="008339BD" w:rsidRDefault="008339BD" w:rsidP="008339BD">
      <w:pPr>
        <w:spacing w:after="12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Запущен специальный проект, ориентированный на жителей автономного округа – еженедельно выпускается дайджест о турах и интересных объектах, загородных базах. Главная задача этого проекта – помочь спланировать интересные выходные или короткий отпуск в Югре.</w:t>
      </w:r>
    </w:p>
    <w:p w14:paraId="2E304F16" w14:textId="0AFAFD61" w:rsidR="00F60AF6" w:rsidRDefault="00F60AF6" w:rsidP="004219F7">
      <w:pPr>
        <w:spacing w:after="12" w:line="36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59D72D48" w14:textId="77777777" w:rsidR="00581AD3" w:rsidRPr="00165D19" w:rsidRDefault="00581AD3" w:rsidP="004219F7">
      <w:pPr>
        <w:spacing w:after="12" w:line="36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69024720" w14:textId="77777777" w:rsidR="00572377" w:rsidRDefault="003C70A3" w:rsidP="00572377">
      <w:pPr>
        <w:pStyle w:val="a3"/>
        <w:spacing w:after="0" w:line="36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991B78">
        <w:rPr>
          <w:rFonts w:ascii="Times New Roman" w:hAnsi="Times New Roman"/>
          <w:b/>
          <w:sz w:val="28"/>
          <w:szCs w:val="28"/>
        </w:rPr>
        <w:lastRenderedPageBreak/>
        <w:t>Развитие сельскохозяйственной кооперации и поддержка фермеров</w:t>
      </w:r>
      <w:r w:rsidRPr="00165D19">
        <w:rPr>
          <w:rFonts w:ascii="PT Astra Serif" w:hAnsi="PT Astra Serif" w:cs="Times New Roman"/>
          <w:sz w:val="28"/>
          <w:szCs w:val="28"/>
        </w:rPr>
        <w:t xml:space="preserve"> </w:t>
      </w:r>
    </w:p>
    <w:p w14:paraId="0F09619A" w14:textId="0A15D108" w:rsidR="00572377" w:rsidRPr="00F91B9A" w:rsidRDefault="00572377" w:rsidP="0057237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7E7DC3">
        <w:rPr>
          <w:rFonts w:ascii="Times New Roman" w:hAnsi="Times New Roman"/>
          <w:sz w:val="28"/>
          <w:szCs w:val="28"/>
        </w:rPr>
        <w:t xml:space="preserve"> 2022 год</w:t>
      </w:r>
      <w:r>
        <w:rPr>
          <w:rFonts w:ascii="Times New Roman" w:hAnsi="Times New Roman"/>
          <w:sz w:val="28"/>
          <w:szCs w:val="28"/>
        </w:rPr>
        <w:t>у</w:t>
      </w:r>
      <w:r w:rsidRPr="007E7D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7E7DC3">
        <w:rPr>
          <w:rFonts w:ascii="Times New Roman" w:hAnsi="Times New Roman"/>
          <w:sz w:val="28"/>
          <w:szCs w:val="28"/>
        </w:rPr>
        <w:t xml:space="preserve">роведен онлайн-тренинг: Школа начинающего фермера «Я-Фермер Югры 2.0». </w:t>
      </w:r>
      <w:r>
        <w:rPr>
          <w:rFonts w:ascii="Times New Roman" w:hAnsi="Times New Roman"/>
          <w:sz w:val="28"/>
          <w:szCs w:val="28"/>
        </w:rPr>
        <w:t>П</w:t>
      </w:r>
      <w:r w:rsidRPr="007E7DC3">
        <w:rPr>
          <w:rFonts w:ascii="Times New Roman" w:hAnsi="Times New Roman"/>
          <w:sz w:val="28"/>
          <w:szCs w:val="28"/>
        </w:rPr>
        <w:t>роект для жителей региона, делающих первые шаги в сфере сельского хозяйства, который направлен на развитие фермерства в регионе, просвещение сельского населения о существующих механизмах государственной поддержки в области развития сельского хозяйства, а также поддержку проектов начинающих предпринимателей в сфере АПК на всех этапах развития: от разработки идеи до сформированного бизнес-проекта</w:t>
      </w:r>
      <w:r>
        <w:rPr>
          <w:rFonts w:ascii="Times New Roman" w:hAnsi="Times New Roman"/>
          <w:sz w:val="28"/>
          <w:szCs w:val="28"/>
        </w:rPr>
        <w:t xml:space="preserve"> (100 человек участниками)</w:t>
      </w:r>
      <w:r w:rsidRPr="007E7DC3">
        <w:rPr>
          <w:rFonts w:ascii="Times New Roman" w:hAnsi="Times New Roman"/>
          <w:sz w:val="28"/>
          <w:szCs w:val="28"/>
        </w:rPr>
        <w:t>.</w:t>
      </w:r>
      <w:r w:rsidR="00F91B9A" w:rsidRPr="00F91B9A">
        <w:rPr>
          <w:rFonts w:ascii="Times New Roman" w:hAnsi="Times New Roman"/>
          <w:sz w:val="28"/>
          <w:szCs w:val="28"/>
        </w:rPr>
        <w:t xml:space="preserve"> </w:t>
      </w:r>
      <w:r w:rsidR="00F91B9A">
        <w:rPr>
          <w:rFonts w:ascii="Times New Roman" w:hAnsi="Times New Roman"/>
          <w:sz w:val="28"/>
          <w:szCs w:val="28"/>
        </w:rPr>
        <w:t>В результате онлайн тренинга разработаны 27 бизнес-проектов.</w:t>
      </w:r>
    </w:p>
    <w:p w14:paraId="5F9800CD" w14:textId="2F34174A" w:rsidR="00572377" w:rsidRPr="00EE4CC9" w:rsidRDefault="00572377" w:rsidP="00572377">
      <w:pPr>
        <w:spacing w:after="12"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C56CB2">
        <w:rPr>
          <w:rFonts w:ascii="PT Astra Serif" w:hAnsi="PT Astra Serif" w:cs="Times New Roman"/>
          <w:bCs/>
          <w:sz w:val="28"/>
          <w:szCs w:val="28"/>
        </w:rPr>
        <w:t xml:space="preserve">Заключено </w:t>
      </w:r>
      <w:r w:rsidRPr="00572377">
        <w:rPr>
          <w:rFonts w:ascii="PT Astra Serif" w:hAnsi="PT Astra Serif" w:cs="Times New Roman"/>
          <w:bCs/>
          <w:sz w:val="28"/>
          <w:szCs w:val="28"/>
        </w:rPr>
        <w:t>13</w:t>
      </w:r>
      <w:r w:rsidRPr="00C56CB2">
        <w:rPr>
          <w:rFonts w:ascii="PT Astra Serif" w:hAnsi="PT Astra Serif" w:cs="Times New Roman"/>
          <w:bCs/>
          <w:sz w:val="28"/>
          <w:szCs w:val="28"/>
        </w:rPr>
        <w:t xml:space="preserve"> соглашений об оказании консультационных услуг по вопросам подачи документов в Департамент промышленности Ханты-Мансийского автономного округа – Югры в целях получения гранта</w:t>
      </w:r>
      <w:r>
        <w:rPr>
          <w:rFonts w:ascii="PT Astra Serif" w:hAnsi="PT Astra Serif" w:cs="Times New Roman"/>
          <w:bCs/>
          <w:sz w:val="28"/>
          <w:szCs w:val="28"/>
        </w:rPr>
        <w:t>.</w:t>
      </w:r>
    </w:p>
    <w:p w14:paraId="6563B3E1" w14:textId="77777777" w:rsidR="00572377" w:rsidRDefault="00572377" w:rsidP="00572377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7DC3">
        <w:rPr>
          <w:rFonts w:ascii="Times New Roman" w:hAnsi="Times New Roman"/>
          <w:sz w:val="28"/>
          <w:szCs w:val="28"/>
        </w:rPr>
        <w:t xml:space="preserve">По 7 проектам приняты положительные решения Департамента промышленности Ханты-Мансийского автономного округа - Югры о предоставлении мер государственной поддержки на их реализацию: </w:t>
      </w:r>
    </w:p>
    <w:p w14:paraId="3CF89ECC" w14:textId="2AFF5121" w:rsidR="00572377" w:rsidRPr="007E7DC3" w:rsidRDefault="00572377" w:rsidP="00572377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7DC3">
        <w:rPr>
          <w:rFonts w:ascii="Times New Roman" w:hAnsi="Times New Roman"/>
          <w:sz w:val="28"/>
          <w:szCs w:val="28"/>
        </w:rPr>
        <w:t>-</w:t>
      </w:r>
      <w:r w:rsidRPr="007E7DC3">
        <w:rPr>
          <w:rFonts w:ascii="Times New Roman" w:hAnsi="Times New Roman"/>
          <w:sz w:val="28"/>
          <w:szCs w:val="28"/>
        </w:rPr>
        <w:tab/>
        <w:t>4 проекта получили гранты «</w:t>
      </w:r>
      <w:proofErr w:type="spellStart"/>
      <w:r w:rsidRPr="007E7DC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7E7DC3">
        <w:rPr>
          <w:rFonts w:ascii="Times New Roman" w:hAnsi="Times New Roman"/>
          <w:sz w:val="28"/>
          <w:szCs w:val="28"/>
        </w:rPr>
        <w:t>». Объем полученной поддержки 16 млн. руб.</w:t>
      </w:r>
      <w:r>
        <w:rPr>
          <w:rFonts w:ascii="Times New Roman" w:hAnsi="Times New Roman"/>
          <w:sz w:val="28"/>
          <w:szCs w:val="28"/>
        </w:rPr>
        <w:t>;</w:t>
      </w:r>
    </w:p>
    <w:p w14:paraId="28F0CCB5" w14:textId="1FD83443" w:rsidR="00572377" w:rsidRPr="007E7DC3" w:rsidRDefault="00572377" w:rsidP="00572377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7DC3">
        <w:rPr>
          <w:rFonts w:ascii="Times New Roman" w:hAnsi="Times New Roman"/>
          <w:sz w:val="28"/>
          <w:szCs w:val="28"/>
        </w:rPr>
        <w:t>-</w:t>
      </w:r>
      <w:r w:rsidRPr="007E7DC3">
        <w:rPr>
          <w:rFonts w:ascii="Times New Roman" w:hAnsi="Times New Roman"/>
          <w:sz w:val="28"/>
          <w:szCs w:val="28"/>
        </w:rPr>
        <w:tab/>
        <w:t>2 проекта получили гранты на развитие семейных ферм. Объем полученной поддержки 5 млн. руб.</w:t>
      </w:r>
      <w:r>
        <w:rPr>
          <w:rFonts w:ascii="Times New Roman" w:hAnsi="Times New Roman"/>
          <w:sz w:val="28"/>
          <w:szCs w:val="28"/>
        </w:rPr>
        <w:t>;</w:t>
      </w:r>
    </w:p>
    <w:p w14:paraId="38E9F201" w14:textId="6368DC84" w:rsidR="00572377" w:rsidRPr="00B85B1C" w:rsidRDefault="00572377" w:rsidP="00572377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0377A">
        <w:rPr>
          <w:rFonts w:ascii="Times New Roman" w:hAnsi="Times New Roman"/>
          <w:sz w:val="28"/>
          <w:szCs w:val="28"/>
        </w:rPr>
        <w:t>-</w:t>
      </w:r>
      <w:r w:rsidRPr="0010377A">
        <w:rPr>
          <w:rFonts w:ascii="Times New Roman" w:hAnsi="Times New Roman"/>
          <w:sz w:val="28"/>
          <w:szCs w:val="28"/>
        </w:rPr>
        <w:tab/>
        <w:t>1 проект</w:t>
      </w:r>
      <w:r w:rsidRPr="007E7DC3">
        <w:rPr>
          <w:rFonts w:ascii="Times New Roman" w:hAnsi="Times New Roman"/>
          <w:sz w:val="28"/>
          <w:szCs w:val="28"/>
        </w:rPr>
        <w:t xml:space="preserve"> получил субсидию на реализацию проекта по заготовке и переработке дикоросов. Объем полученной поддержки 1,5 млн. руб.</w:t>
      </w:r>
    </w:p>
    <w:p w14:paraId="01F5D753" w14:textId="4FB755D2" w:rsidR="00572377" w:rsidRDefault="00572377" w:rsidP="0057237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7E7DC3">
        <w:rPr>
          <w:rFonts w:ascii="Times New Roman" w:hAnsi="Times New Roman"/>
          <w:sz w:val="28"/>
          <w:szCs w:val="28"/>
        </w:rPr>
        <w:t>а полях Петербургского международного экономического форума заключено соглашение о сотрудничестве между Фондом развития Югры и АНО «Российская система качества» (</w:t>
      </w:r>
      <w:proofErr w:type="spellStart"/>
      <w:r w:rsidRPr="007E7DC3">
        <w:rPr>
          <w:rFonts w:ascii="Times New Roman" w:hAnsi="Times New Roman"/>
          <w:sz w:val="28"/>
          <w:szCs w:val="28"/>
        </w:rPr>
        <w:t>Роскачество</w:t>
      </w:r>
      <w:proofErr w:type="spellEnd"/>
      <w:r w:rsidRPr="007E7DC3">
        <w:rPr>
          <w:rFonts w:ascii="Times New Roman" w:hAnsi="Times New Roman"/>
          <w:sz w:val="28"/>
          <w:szCs w:val="28"/>
        </w:rPr>
        <w:t xml:space="preserve">) в сфере развития органического </w:t>
      </w:r>
      <w:r>
        <w:rPr>
          <w:rFonts w:ascii="Times New Roman" w:hAnsi="Times New Roman"/>
          <w:sz w:val="28"/>
          <w:szCs w:val="28"/>
        </w:rPr>
        <w:t>производства продукции</w:t>
      </w:r>
      <w:r w:rsidRPr="00C577E4">
        <w:rPr>
          <w:rFonts w:ascii="Times New Roman" w:hAnsi="Times New Roman"/>
          <w:sz w:val="28"/>
          <w:szCs w:val="28"/>
        </w:rPr>
        <w:t xml:space="preserve"> в Югре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4F523F27" w14:textId="774927AF" w:rsidR="00572377" w:rsidRPr="00C577E4" w:rsidRDefault="00572377" w:rsidP="0057237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2022 году заключено соглашение о сотрудничестве между Фондом развития Югры и Фондом «Органика», Союзом органического земледелия.</w:t>
      </w:r>
    </w:p>
    <w:p w14:paraId="7DE3226E" w14:textId="77777777" w:rsidR="00572377" w:rsidRDefault="00572377" w:rsidP="0057237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77E4">
        <w:rPr>
          <w:rFonts w:ascii="Times New Roman" w:hAnsi="Times New Roman"/>
          <w:sz w:val="28"/>
          <w:szCs w:val="28"/>
        </w:rPr>
        <w:lastRenderedPageBreak/>
        <w:t>В результате сотрудничества пять организаций автономного округа прошли сертификацию органического производства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E7DC3">
        <w:rPr>
          <w:rFonts w:ascii="Times New Roman" w:hAnsi="Times New Roman"/>
          <w:sz w:val="28"/>
          <w:szCs w:val="28"/>
        </w:rPr>
        <w:t>согласно ГОСТ-59425-2021, ГОСТ-33980-2016</w:t>
      </w:r>
      <w:r w:rsidRPr="00C577E4">
        <w:rPr>
          <w:rFonts w:ascii="Times New Roman" w:hAnsi="Times New Roman"/>
          <w:sz w:val="28"/>
          <w:szCs w:val="28"/>
        </w:rPr>
        <w:t>.</w:t>
      </w:r>
    </w:p>
    <w:p w14:paraId="68F1E675" w14:textId="3E953A1C" w:rsidR="00572377" w:rsidRDefault="00572377" w:rsidP="0057237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4150">
        <w:rPr>
          <w:rFonts w:ascii="Times New Roman" w:hAnsi="Times New Roman"/>
          <w:sz w:val="28"/>
          <w:szCs w:val="28"/>
        </w:rPr>
        <w:t xml:space="preserve">Фонд развития Югры осуществляет взаимодействие с АО Корпорация МСП по вопросам реализации пилотного проекта «Фермерский островок». </w:t>
      </w:r>
    </w:p>
    <w:p w14:paraId="23231728" w14:textId="77777777" w:rsidR="00572377" w:rsidRPr="00E714F4" w:rsidRDefault="00572377" w:rsidP="0057237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взаимодействия в</w:t>
      </w:r>
      <w:r w:rsidRPr="00914150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2</w:t>
      </w:r>
      <w:r w:rsidRPr="00914150">
        <w:rPr>
          <w:rFonts w:ascii="Times New Roman" w:hAnsi="Times New Roman"/>
          <w:sz w:val="28"/>
          <w:szCs w:val="28"/>
        </w:rPr>
        <w:t xml:space="preserve"> году открылись 3 «Фермерских островка на базе ТС «Х5групп» («Пятерочка», «Перекресток») в. Сургуте, в г</w:t>
      </w:r>
      <w:r>
        <w:rPr>
          <w:rFonts w:ascii="Times New Roman" w:hAnsi="Times New Roman"/>
          <w:sz w:val="28"/>
          <w:szCs w:val="28"/>
        </w:rPr>
        <w:t>.</w:t>
      </w:r>
      <w:r w:rsidRPr="00914150">
        <w:rPr>
          <w:rFonts w:ascii="Times New Roman" w:hAnsi="Times New Roman"/>
          <w:sz w:val="28"/>
          <w:szCs w:val="28"/>
        </w:rPr>
        <w:t xml:space="preserve"> Нижневартовске</w:t>
      </w:r>
      <w:r>
        <w:rPr>
          <w:rFonts w:ascii="Times New Roman" w:hAnsi="Times New Roman"/>
          <w:sz w:val="28"/>
          <w:szCs w:val="28"/>
        </w:rPr>
        <w:t>. Фермерский островок в</w:t>
      </w:r>
      <w:r w:rsidRPr="00914150">
        <w:rPr>
          <w:rFonts w:ascii="Times New Roman" w:hAnsi="Times New Roman"/>
          <w:sz w:val="28"/>
          <w:szCs w:val="28"/>
        </w:rPr>
        <w:t xml:space="preserve"> г. Сургут</w:t>
      </w:r>
      <w:r>
        <w:rPr>
          <w:rFonts w:ascii="Times New Roman" w:hAnsi="Times New Roman"/>
          <w:sz w:val="28"/>
          <w:szCs w:val="28"/>
        </w:rPr>
        <w:t>е</w:t>
      </w:r>
      <w:r w:rsidRPr="00914150">
        <w:rPr>
          <w:rFonts w:ascii="Times New Roman" w:hAnsi="Times New Roman"/>
          <w:sz w:val="28"/>
          <w:szCs w:val="28"/>
        </w:rPr>
        <w:t xml:space="preserve"> впервые в </w:t>
      </w:r>
      <w:r>
        <w:rPr>
          <w:rFonts w:ascii="Times New Roman" w:hAnsi="Times New Roman"/>
          <w:sz w:val="28"/>
          <w:szCs w:val="28"/>
        </w:rPr>
        <w:t>России</w:t>
      </w:r>
      <w:r w:rsidRPr="00914150">
        <w:rPr>
          <w:rFonts w:ascii="Times New Roman" w:hAnsi="Times New Roman"/>
          <w:sz w:val="28"/>
          <w:szCs w:val="28"/>
        </w:rPr>
        <w:t xml:space="preserve"> расположился в супермаркете «Перекрёсток»</w:t>
      </w:r>
      <w:r>
        <w:rPr>
          <w:rFonts w:ascii="Times New Roman" w:hAnsi="Times New Roman"/>
          <w:sz w:val="28"/>
          <w:szCs w:val="28"/>
        </w:rPr>
        <w:t>.</w:t>
      </w:r>
    </w:p>
    <w:p w14:paraId="143C2EA7" w14:textId="77777777" w:rsidR="00572377" w:rsidRPr="007E7DC3" w:rsidRDefault="00572377" w:rsidP="0057237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продвижения продукции сельскохозяйственных товаропроизводителей Югры на внутренние и внешние рынки о</w:t>
      </w:r>
      <w:r w:rsidRPr="007E7DC3">
        <w:rPr>
          <w:rFonts w:ascii="Times New Roman" w:hAnsi="Times New Roman"/>
          <w:sz w:val="28"/>
          <w:szCs w:val="28"/>
        </w:rPr>
        <w:t>рганизовано участие делегации Югры в 29-й международной выставке продуктов питания, напитков и сырья для их производства «Продэкспо – 2022». На стенде была организована презентация и дегустация продукции из дикоросов (грибы, варенье из северных ягод, кедровая продукция, кондитерские изделия), рыбной продукции, рыбных консерв, продукции из оленины (тушенка), иван-чая.</w:t>
      </w:r>
      <w:r>
        <w:rPr>
          <w:rFonts w:ascii="Times New Roman" w:hAnsi="Times New Roman"/>
          <w:sz w:val="28"/>
          <w:szCs w:val="28"/>
        </w:rPr>
        <w:t xml:space="preserve"> В ходе проведения выставки, р</w:t>
      </w:r>
      <w:r w:rsidRPr="007E7DC3">
        <w:rPr>
          <w:rFonts w:ascii="Times New Roman" w:hAnsi="Times New Roman"/>
          <w:sz w:val="28"/>
          <w:szCs w:val="28"/>
        </w:rPr>
        <w:t>ыбные консервы «Печень налима», «Сырок в желе» производителя ООО «НРКК «Санта-Мария» удостоены золотой медалью в международном конкурсе «Лучший продукт-2022».</w:t>
      </w:r>
    </w:p>
    <w:p w14:paraId="63D67D54" w14:textId="010E9ABE" w:rsidR="00572377" w:rsidRPr="007E7DC3" w:rsidRDefault="00572377" w:rsidP="00572377">
      <w:pPr>
        <w:pStyle w:val="a3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7DC3">
        <w:rPr>
          <w:rFonts w:ascii="Times New Roman" w:hAnsi="Times New Roman"/>
          <w:sz w:val="28"/>
          <w:szCs w:val="28"/>
        </w:rPr>
        <w:t xml:space="preserve">Принято участие в гастрономическом фестивале «Вкусы </w:t>
      </w:r>
      <w:proofErr w:type="gramStart"/>
      <w:r w:rsidRPr="007E7DC3">
        <w:rPr>
          <w:rFonts w:ascii="Times New Roman" w:hAnsi="Times New Roman"/>
          <w:sz w:val="28"/>
          <w:szCs w:val="28"/>
        </w:rPr>
        <w:t>России»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7D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 w:rsidRPr="007E7DC3">
        <w:rPr>
          <w:rFonts w:ascii="Times New Roman" w:hAnsi="Times New Roman"/>
          <w:sz w:val="28"/>
          <w:szCs w:val="28"/>
        </w:rPr>
        <w:t>г. Москв</w:t>
      </w:r>
      <w:r>
        <w:rPr>
          <w:rFonts w:ascii="Times New Roman" w:hAnsi="Times New Roman"/>
          <w:sz w:val="28"/>
          <w:szCs w:val="28"/>
        </w:rPr>
        <w:t>а)</w:t>
      </w:r>
      <w:r w:rsidRPr="007E7DC3">
        <w:rPr>
          <w:rFonts w:ascii="Times New Roman" w:hAnsi="Times New Roman"/>
          <w:sz w:val="28"/>
          <w:szCs w:val="28"/>
        </w:rPr>
        <w:t xml:space="preserve"> с организацией торговли в региональном павильоне</w:t>
      </w:r>
      <w:r>
        <w:rPr>
          <w:rFonts w:ascii="Times New Roman" w:hAnsi="Times New Roman"/>
          <w:sz w:val="28"/>
          <w:szCs w:val="28"/>
        </w:rPr>
        <w:t>. П</w:t>
      </w:r>
      <w:r w:rsidRPr="007E7DC3">
        <w:rPr>
          <w:rFonts w:ascii="Times New Roman" w:hAnsi="Times New Roman"/>
          <w:sz w:val="28"/>
          <w:szCs w:val="28"/>
        </w:rPr>
        <w:t>редставлены: 9 гастрономических брендов: «Югорская болотная ягода», «</w:t>
      </w:r>
      <w:proofErr w:type="spellStart"/>
      <w:r w:rsidRPr="007E7DC3">
        <w:rPr>
          <w:rFonts w:ascii="Times New Roman" w:hAnsi="Times New Roman"/>
          <w:sz w:val="28"/>
          <w:szCs w:val="28"/>
        </w:rPr>
        <w:t>Таволожная</w:t>
      </w:r>
      <w:proofErr w:type="spellEnd"/>
      <w:r w:rsidRPr="007E7DC3">
        <w:rPr>
          <w:rFonts w:ascii="Times New Roman" w:hAnsi="Times New Roman"/>
          <w:sz w:val="28"/>
          <w:szCs w:val="28"/>
        </w:rPr>
        <w:t xml:space="preserve"> моченая морошка», «Сургутский живой шоколад», «Сибирские консервы», «Югорский мармелад», «Сургутский хлеб», «</w:t>
      </w:r>
      <w:proofErr w:type="spellStart"/>
      <w:r w:rsidRPr="007E7DC3">
        <w:rPr>
          <w:rFonts w:ascii="Times New Roman" w:hAnsi="Times New Roman"/>
          <w:sz w:val="28"/>
          <w:szCs w:val="28"/>
        </w:rPr>
        <w:t>Сосьвинская</w:t>
      </w:r>
      <w:proofErr w:type="spellEnd"/>
      <w:r w:rsidRPr="007E7DC3">
        <w:rPr>
          <w:rFonts w:ascii="Times New Roman" w:hAnsi="Times New Roman"/>
          <w:sz w:val="28"/>
          <w:szCs w:val="28"/>
        </w:rPr>
        <w:t xml:space="preserve"> селедка», «Ханты-Мансийские специи из мха», «Кондинские белые грибы».</w:t>
      </w:r>
    </w:p>
    <w:p w14:paraId="3F01B7AF" w14:textId="77777777" w:rsidR="00572377" w:rsidRPr="001F5AFD" w:rsidRDefault="00572377" w:rsidP="00572377">
      <w:pPr>
        <w:pStyle w:val="a3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262">
        <w:rPr>
          <w:rFonts w:ascii="Times New Roman" w:hAnsi="Times New Roman"/>
          <w:sz w:val="28"/>
          <w:szCs w:val="28"/>
        </w:rPr>
        <w:t>Проведен</w:t>
      </w:r>
      <w:r>
        <w:rPr>
          <w:rFonts w:ascii="Times New Roman" w:hAnsi="Times New Roman"/>
          <w:sz w:val="28"/>
          <w:szCs w:val="28"/>
        </w:rPr>
        <w:t>ы</w:t>
      </w:r>
      <w:r w:rsidRPr="00C37262">
        <w:rPr>
          <w:rFonts w:ascii="Times New Roman" w:hAnsi="Times New Roman"/>
          <w:sz w:val="28"/>
          <w:szCs w:val="28"/>
        </w:rPr>
        <w:t xml:space="preserve"> Югорск</w:t>
      </w:r>
      <w:r>
        <w:rPr>
          <w:rFonts w:ascii="Times New Roman" w:hAnsi="Times New Roman"/>
          <w:sz w:val="28"/>
          <w:szCs w:val="28"/>
        </w:rPr>
        <w:t>ие</w:t>
      </w:r>
      <w:r w:rsidRPr="00C37262">
        <w:rPr>
          <w:rFonts w:ascii="Times New Roman" w:hAnsi="Times New Roman"/>
          <w:sz w:val="28"/>
          <w:szCs w:val="28"/>
        </w:rPr>
        <w:t xml:space="preserve"> фермерск</w:t>
      </w:r>
      <w:r>
        <w:rPr>
          <w:rFonts w:ascii="Times New Roman" w:hAnsi="Times New Roman"/>
          <w:sz w:val="28"/>
          <w:szCs w:val="28"/>
        </w:rPr>
        <w:t>ие</w:t>
      </w:r>
      <w:r w:rsidRPr="00C37262">
        <w:rPr>
          <w:rFonts w:ascii="Times New Roman" w:hAnsi="Times New Roman"/>
          <w:sz w:val="28"/>
          <w:szCs w:val="28"/>
        </w:rPr>
        <w:t xml:space="preserve"> ярмарк</w:t>
      </w:r>
      <w:r>
        <w:rPr>
          <w:rFonts w:ascii="Times New Roman" w:hAnsi="Times New Roman"/>
          <w:sz w:val="28"/>
          <w:szCs w:val="28"/>
        </w:rPr>
        <w:t>и</w:t>
      </w:r>
      <w:r w:rsidRPr="00C37262">
        <w:rPr>
          <w:rFonts w:ascii="Times New Roman" w:hAnsi="Times New Roman"/>
          <w:sz w:val="28"/>
          <w:szCs w:val="28"/>
        </w:rPr>
        <w:t xml:space="preserve"> выходного дня</w:t>
      </w:r>
      <w:r>
        <w:rPr>
          <w:rFonts w:ascii="Times New Roman" w:hAnsi="Times New Roman"/>
          <w:sz w:val="28"/>
          <w:szCs w:val="28"/>
        </w:rPr>
        <w:t xml:space="preserve"> в городах</w:t>
      </w:r>
      <w:r w:rsidRPr="001F5AFD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Ханты-Мансийске, Сургуте, Нижневартовске, Нягани. В ярмарках приняли участие 395 </w:t>
      </w:r>
      <w:r w:rsidRPr="00C37262">
        <w:rPr>
          <w:rFonts w:ascii="Times New Roman" w:hAnsi="Times New Roman"/>
          <w:sz w:val="28"/>
          <w:szCs w:val="28"/>
        </w:rPr>
        <w:t>товаропроизводители Ханты-Мансийского автономного округа – Югры, Тюменской области, Челябинской области</w:t>
      </w:r>
      <w:r>
        <w:rPr>
          <w:rFonts w:ascii="Times New Roman" w:hAnsi="Times New Roman"/>
          <w:sz w:val="28"/>
          <w:szCs w:val="28"/>
        </w:rPr>
        <w:t>, о</w:t>
      </w:r>
      <w:r w:rsidRPr="001F5AFD">
        <w:rPr>
          <w:rFonts w:ascii="Times New Roman" w:hAnsi="Times New Roman"/>
          <w:sz w:val="28"/>
          <w:szCs w:val="28"/>
        </w:rPr>
        <w:t>бщая проходимость</w:t>
      </w:r>
      <w:r>
        <w:rPr>
          <w:rFonts w:ascii="Times New Roman" w:hAnsi="Times New Roman"/>
          <w:sz w:val="28"/>
          <w:szCs w:val="28"/>
        </w:rPr>
        <w:t xml:space="preserve"> составила</w:t>
      </w:r>
      <w:r w:rsidRPr="001F5AFD">
        <w:rPr>
          <w:rFonts w:ascii="Times New Roman" w:hAnsi="Times New Roman"/>
          <w:sz w:val="28"/>
          <w:szCs w:val="28"/>
        </w:rPr>
        <w:t xml:space="preserve"> 40</w:t>
      </w:r>
      <w:r>
        <w:rPr>
          <w:rFonts w:ascii="Times New Roman" w:hAnsi="Times New Roman"/>
          <w:sz w:val="28"/>
          <w:szCs w:val="28"/>
        </w:rPr>
        <w:t> </w:t>
      </w:r>
      <w:r w:rsidRPr="001F5AFD">
        <w:rPr>
          <w:rFonts w:ascii="Times New Roman" w:hAnsi="Times New Roman"/>
          <w:sz w:val="28"/>
          <w:szCs w:val="28"/>
        </w:rPr>
        <w:t>137</w:t>
      </w:r>
      <w:r>
        <w:rPr>
          <w:rFonts w:ascii="Times New Roman" w:hAnsi="Times New Roman"/>
          <w:sz w:val="28"/>
          <w:szCs w:val="28"/>
        </w:rPr>
        <w:t xml:space="preserve"> человек.</w:t>
      </w:r>
    </w:p>
    <w:p w14:paraId="3FF07803" w14:textId="77777777" w:rsidR="00572377" w:rsidRPr="007E7DC3" w:rsidRDefault="00572377" w:rsidP="00572377">
      <w:pPr>
        <w:pStyle w:val="a3"/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7DC3">
        <w:rPr>
          <w:rFonts w:ascii="Times New Roman" w:hAnsi="Times New Roman"/>
          <w:sz w:val="28"/>
          <w:szCs w:val="28"/>
        </w:rPr>
        <w:lastRenderedPageBreak/>
        <w:t>Для повышения узнаваемости локальной продукции и роста продаж в торговой сети «Лента» проведена дегустация продукции товаропроизводителей автономного округа, представленной в сети гипермаркетов «Лента» под товарным знаком «Сделано в Югре!». Дегустация прошла в гипермаркете «Лента» в г. Ханты-Мансийске 07.03.2022 г.</w:t>
      </w:r>
      <w:r>
        <w:rPr>
          <w:rFonts w:ascii="Times New Roman" w:hAnsi="Times New Roman"/>
          <w:sz w:val="28"/>
          <w:szCs w:val="28"/>
        </w:rPr>
        <w:t>,</w:t>
      </w:r>
      <w:r w:rsidRPr="007E7DC3">
        <w:rPr>
          <w:rFonts w:ascii="Times New Roman" w:hAnsi="Times New Roman"/>
          <w:sz w:val="28"/>
          <w:szCs w:val="28"/>
        </w:rPr>
        <w:t xml:space="preserve"> в г. Сургуте 22.09.2022 г. в гипермаркете «Магнит экстра». </w:t>
      </w:r>
    </w:p>
    <w:p w14:paraId="0738D0DA" w14:textId="77777777" w:rsidR="00572377" w:rsidRPr="00E1097D" w:rsidRDefault="00572377" w:rsidP="0057237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7DC3">
        <w:rPr>
          <w:rFonts w:ascii="Times New Roman" w:hAnsi="Times New Roman"/>
          <w:sz w:val="28"/>
          <w:szCs w:val="28"/>
        </w:rPr>
        <w:t>Проведен</w:t>
      </w:r>
      <w:r>
        <w:rPr>
          <w:rFonts w:ascii="Times New Roman" w:hAnsi="Times New Roman"/>
          <w:sz w:val="28"/>
          <w:szCs w:val="28"/>
        </w:rPr>
        <w:t>ы</w:t>
      </w:r>
      <w:r w:rsidRPr="007E7DC3">
        <w:rPr>
          <w:rFonts w:ascii="Times New Roman" w:hAnsi="Times New Roman"/>
          <w:sz w:val="28"/>
          <w:szCs w:val="28"/>
        </w:rPr>
        <w:t xml:space="preserve"> торгово-закупочн</w:t>
      </w:r>
      <w:r>
        <w:rPr>
          <w:rFonts w:ascii="Times New Roman" w:hAnsi="Times New Roman"/>
          <w:sz w:val="28"/>
          <w:szCs w:val="28"/>
        </w:rPr>
        <w:t>ые</w:t>
      </w:r>
      <w:r w:rsidRPr="007E7DC3">
        <w:rPr>
          <w:rFonts w:ascii="Times New Roman" w:hAnsi="Times New Roman"/>
          <w:sz w:val="28"/>
          <w:szCs w:val="28"/>
        </w:rPr>
        <w:t xml:space="preserve"> сесси</w:t>
      </w:r>
      <w:r>
        <w:rPr>
          <w:rFonts w:ascii="Times New Roman" w:hAnsi="Times New Roman"/>
          <w:sz w:val="28"/>
          <w:szCs w:val="28"/>
        </w:rPr>
        <w:t>и</w:t>
      </w:r>
      <w:r w:rsidRPr="00E1097D">
        <w:rPr>
          <w:rFonts w:ascii="Times New Roman" w:hAnsi="Times New Roman"/>
          <w:sz w:val="28"/>
          <w:szCs w:val="28"/>
        </w:rPr>
        <w:t>:</w:t>
      </w:r>
    </w:p>
    <w:p w14:paraId="29B0F2CB" w14:textId="77777777" w:rsidR="00572377" w:rsidRPr="00E1097D" w:rsidRDefault="00572377" w:rsidP="0057237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097D">
        <w:rPr>
          <w:rFonts w:ascii="Times New Roman" w:hAnsi="Times New Roman"/>
          <w:sz w:val="28"/>
          <w:szCs w:val="28"/>
        </w:rPr>
        <w:t>-</w:t>
      </w:r>
      <w:r w:rsidRPr="007E7DC3">
        <w:rPr>
          <w:rFonts w:ascii="Times New Roman" w:hAnsi="Times New Roman"/>
          <w:sz w:val="28"/>
          <w:szCs w:val="28"/>
        </w:rPr>
        <w:t xml:space="preserve"> ТС «Лента» в г. Сургуте 17.05.2022 г</w:t>
      </w:r>
      <w:r w:rsidRPr="00E1097D">
        <w:rPr>
          <w:rFonts w:ascii="Times New Roman" w:hAnsi="Times New Roman"/>
          <w:sz w:val="28"/>
          <w:szCs w:val="28"/>
        </w:rPr>
        <w:t>;</w:t>
      </w:r>
    </w:p>
    <w:p w14:paraId="045F270C" w14:textId="77777777" w:rsidR="00572377" w:rsidRDefault="00572377" w:rsidP="0057237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097D">
        <w:rPr>
          <w:rFonts w:ascii="Times New Roman" w:hAnsi="Times New Roman"/>
          <w:sz w:val="28"/>
          <w:szCs w:val="28"/>
        </w:rPr>
        <w:t xml:space="preserve">- </w:t>
      </w:r>
      <w:r w:rsidRPr="007E7DC3">
        <w:rPr>
          <w:rFonts w:ascii="Times New Roman" w:hAnsi="Times New Roman"/>
          <w:sz w:val="28"/>
          <w:szCs w:val="28"/>
        </w:rPr>
        <w:t>ТС «Лента», ТС «Магнит», ТС «Х5групп» в г. Сургуте 26.08.2022 г</w:t>
      </w:r>
      <w:r>
        <w:rPr>
          <w:rFonts w:ascii="Times New Roman" w:hAnsi="Times New Roman"/>
          <w:sz w:val="28"/>
          <w:szCs w:val="28"/>
        </w:rPr>
        <w:t>.</w:t>
      </w:r>
    </w:p>
    <w:p w14:paraId="5169ADE8" w14:textId="77777777" w:rsidR="00572377" w:rsidRDefault="00572377" w:rsidP="0057237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097D">
        <w:rPr>
          <w:rFonts w:ascii="Times New Roman" w:hAnsi="Times New Roman"/>
          <w:sz w:val="28"/>
          <w:szCs w:val="28"/>
        </w:rPr>
        <w:t>- ТС «Лента», ТС «Магнит», ТС «Х5групп», «Фермерский островок», «</w:t>
      </w:r>
      <w:proofErr w:type="spellStart"/>
      <w:r w:rsidRPr="00E1097D">
        <w:rPr>
          <w:rFonts w:ascii="Times New Roman" w:hAnsi="Times New Roman"/>
          <w:sz w:val="28"/>
          <w:szCs w:val="28"/>
        </w:rPr>
        <w:t>Агромаркет</w:t>
      </w:r>
      <w:proofErr w:type="spellEnd"/>
      <w:r w:rsidRPr="00E1097D">
        <w:rPr>
          <w:rFonts w:ascii="Times New Roman" w:hAnsi="Times New Roman"/>
          <w:sz w:val="28"/>
          <w:szCs w:val="28"/>
        </w:rPr>
        <w:t>» 09.12.2022 г. в г. Ханты-Мансийске</w:t>
      </w:r>
    </w:p>
    <w:p w14:paraId="78B3EC53" w14:textId="5E41801C" w:rsidR="005C4755" w:rsidRPr="00165D19" w:rsidRDefault="005C4755" w:rsidP="00572377">
      <w:pPr>
        <w:tabs>
          <w:tab w:val="left" w:pos="851"/>
          <w:tab w:val="left" w:pos="1134"/>
        </w:tabs>
        <w:spacing w:after="12" w:line="36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</w:p>
    <w:p w14:paraId="65BB105C" w14:textId="6BB4A1B6" w:rsidR="005C4755" w:rsidRPr="00165D19" w:rsidRDefault="005C4755" w:rsidP="008843D2">
      <w:pPr>
        <w:tabs>
          <w:tab w:val="left" w:pos="-7797"/>
        </w:tabs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</w:pPr>
      <w:r w:rsidRPr="00165D19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>Центр обучения и развития</w:t>
      </w:r>
      <w:r w:rsidR="002C768C" w:rsidRPr="00165D19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>.</w:t>
      </w:r>
      <w:r w:rsidR="002339BC" w:rsidRPr="00165D19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 xml:space="preserve"> </w:t>
      </w:r>
    </w:p>
    <w:p w14:paraId="08E6C7E2" w14:textId="515BB70A" w:rsidR="006E5D48" w:rsidRPr="007E7DC3" w:rsidRDefault="006E5D48" w:rsidP="006E5D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7DC3">
        <w:rPr>
          <w:rFonts w:ascii="Times New Roman" w:hAnsi="Times New Roman"/>
          <w:sz w:val="28"/>
          <w:szCs w:val="28"/>
        </w:rPr>
        <w:t xml:space="preserve">В 2022 году </w:t>
      </w:r>
      <w:r>
        <w:rPr>
          <w:rFonts w:ascii="Times New Roman" w:hAnsi="Times New Roman"/>
          <w:sz w:val="28"/>
          <w:szCs w:val="28"/>
        </w:rPr>
        <w:t xml:space="preserve">завершена первая ступень </w:t>
      </w:r>
      <w:r w:rsidRPr="007E7DC3">
        <w:rPr>
          <w:rFonts w:ascii="Times New Roman" w:hAnsi="Times New Roman"/>
          <w:sz w:val="28"/>
          <w:szCs w:val="28"/>
        </w:rPr>
        <w:t xml:space="preserve">обучающего проекта для сотрудников органов государственной власти автономного округа и органов местного самоуправления муниципальных образований «Инвестшкола». В рамках </w:t>
      </w:r>
      <w:proofErr w:type="spellStart"/>
      <w:r w:rsidRPr="007E7DC3">
        <w:rPr>
          <w:rFonts w:ascii="Times New Roman" w:hAnsi="Times New Roman"/>
          <w:sz w:val="28"/>
          <w:szCs w:val="28"/>
        </w:rPr>
        <w:t>Инвестшколы</w:t>
      </w:r>
      <w:proofErr w:type="spellEnd"/>
      <w:r w:rsidRPr="007E7DC3">
        <w:rPr>
          <w:rFonts w:ascii="Times New Roman" w:hAnsi="Times New Roman"/>
          <w:sz w:val="28"/>
          <w:szCs w:val="28"/>
        </w:rPr>
        <w:t xml:space="preserve"> организовано повышение профессиональных компетенций специалистов исполнительных органов государственной власти и органов местного самоуправления муниципальных образований автономного округа, курирующих вопросы инвестиционной деятельности.</w:t>
      </w:r>
    </w:p>
    <w:p w14:paraId="5C6A6DE9" w14:textId="5125EB79" w:rsidR="006E5D48" w:rsidRDefault="006E5D48" w:rsidP="006E5D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7DC3">
        <w:rPr>
          <w:rFonts w:ascii="Times New Roman" w:hAnsi="Times New Roman"/>
          <w:sz w:val="28"/>
          <w:szCs w:val="28"/>
        </w:rPr>
        <w:t xml:space="preserve">Так, в рамках </w:t>
      </w:r>
      <w:r>
        <w:rPr>
          <w:rFonts w:ascii="Times New Roman" w:hAnsi="Times New Roman"/>
          <w:sz w:val="28"/>
          <w:szCs w:val="28"/>
        </w:rPr>
        <w:t>проекта проведены 26 обучающих, практических, проектных мероприятий (</w:t>
      </w:r>
      <w:r w:rsidRPr="007E7DC3">
        <w:rPr>
          <w:rFonts w:ascii="Times New Roman" w:hAnsi="Times New Roman"/>
          <w:sz w:val="28"/>
          <w:szCs w:val="28"/>
        </w:rPr>
        <w:t>вебинар</w:t>
      </w:r>
      <w:r>
        <w:rPr>
          <w:rFonts w:ascii="Times New Roman" w:hAnsi="Times New Roman"/>
          <w:sz w:val="28"/>
          <w:szCs w:val="28"/>
        </w:rPr>
        <w:t xml:space="preserve">ы, мастер-классы, практикумы, дискуссионные площадки, тренинги, стратегические и проектные сессии, выездная торгово-закупочная сессия для сельхозпроизводителей и др.). </w:t>
      </w:r>
    </w:p>
    <w:p w14:paraId="794CE1DE" w14:textId="77777777" w:rsidR="00FC6F5F" w:rsidRDefault="00B243F1" w:rsidP="00443AC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проекта прошла обсуждение и согласование с заинтересованными органами власти – Департаментом промышленности Югры, Департаментом экономического развития Югры. </w:t>
      </w:r>
    </w:p>
    <w:p w14:paraId="7BBB3600" w14:textId="279E270D" w:rsidR="00443ACF" w:rsidRDefault="006E5D48" w:rsidP="00443AC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Обучение участников проекта было посвящено таким актуальным специализированным темам, как: ф</w:t>
      </w:r>
      <w:r w:rsidRPr="007E7DC3">
        <w:rPr>
          <w:rFonts w:ascii="Times New Roman" w:hAnsi="Times New Roman"/>
          <w:sz w:val="28"/>
          <w:szCs w:val="28"/>
        </w:rPr>
        <w:t>ормы государственной поддержки частных инвестиций</w:t>
      </w:r>
      <w:r>
        <w:rPr>
          <w:rFonts w:ascii="Times New Roman" w:hAnsi="Times New Roman"/>
          <w:sz w:val="28"/>
          <w:szCs w:val="28"/>
        </w:rPr>
        <w:t>, з</w:t>
      </w:r>
      <w:r w:rsidRPr="007E7DC3">
        <w:rPr>
          <w:rFonts w:ascii="Times New Roman" w:hAnsi="Times New Roman"/>
          <w:sz w:val="28"/>
          <w:szCs w:val="28"/>
        </w:rPr>
        <w:t xml:space="preserve">акрепление неизменных условий как основа для успешных </w:t>
      </w:r>
      <w:r w:rsidRPr="007E7DC3">
        <w:rPr>
          <w:rFonts w:ascii="Times New Roman" w:hAnsi="Times New Roman"/>
          <w:sz w:val="28"/>
          <w:szCs w:val="28"/>
        </w:rPr>
        <w:lastRenderedPageBreak/>
        <w:t>инвестиционных проектов</w:t>
      </w:r>
      <w:r>
        <w:rPr>
          <w:rFonts w:ascii="Times New Roman" w:hAnsi="Times New Roman"/>
          <w:sz w:val="28"/>
          <w:szCs w:val="28"/>
        </w:rPr>
        <w:t>, п</w:t>
      </w:r>
      <w:r w:rsidRPr="007E7DC3">
        <w:rPr>
          <w:rFonts w:ascii="Times New Roman" w:hAnsi="Times New Roman"/>
          <w:sz w:val="28"/>
          <w:szCs w:val="28"/>
        </w:rPr>
        <w:t>ривлечение инвестиций на основе ГЧП</w:t>
      </w:r>
      <w:r>
        <w:rPr>
          <w:rFonts w:ascii="Times New Roman" w:hAnsi="Times New Roman"/>
          <w:sz w:val="28"/>
          <w:szCs w:val="28"/>
        </w:rPr>
        <w:t>; б</w:t>
      </w:r>
      <w:r w:rsidRPr="007E7DC3">
        <w:rPr>
          <w:rFonts w:ascii="Times New Roman" w:hAnsi="Times New Roman"/>
          <w:sz w:val="28"/>
          <w:szCs w:val="28"/>
        </w:rPr>
        <w:t>юджетные инвестиции как рычаг для привлечения частных</w:t>
      </w:r>
      <w:r>
        <w:rPr>
          <w:rFonts w:ascii="Times New Roman" w:hAnsi="Times New Roman"/>
          <w:sz w:val="28"/>
          <w:szCs w:val="28"/>
        </w:rPr>
        <w:t>; н</w:t>
      </w:r>
      <w:r w:rsidRPr="007E7DC3">
        <w:rPr>
          <w:rFonts w:ascii="Times New Roman" w:hAnsi="Times New Roman"/>
          <w:sz w:val="28"/>
          <w:szCs w:val="28"/>
        </w:rPr>
        <w:t>овое в развитии механизма ГЧП</w:t>
      </w:r>
      <w:r>
        <w:rPr>
          <w:rFonts w:ascii="Times New Roman" w:hAnsi="Times New Roman"/>
          <w:sz w:val="28"/>
          <w:szCs w:val="28"/>
        </w:rPr>
        <w:t>;</w:t>
      </w:r>
      <w:r w:rsidRPr="007E7DC3">
        <w:rPr>
          <w:rFonts w:ascii="Times New Roman" w:hAnsi="Times New Roman"/>
          <w:sz w:val="28"/>
          <w:szCs w:val="28"/>
        </w:rPr>
        <w:t xml:space="preserve"> </w:t>
      </w:r>
      <w:r w:rsidR="00443ACF">
        <w:rPr>
          <w:rFonts w:ascii="Times New Roman" w:hAnsi="Times New Roman"/>
          <w:sz w:val="28"/>
          <w:szCs w:val="28"/>
        </w:rPr>
        <w:t>к</w:t>
      </w:r>
      <w:r w:rsidRPr="007E7DC3">
        <w:rPr>
          <w:rFonts w:ascii="Times New Roman" w:hAnsi="Times New Roman"/>
          <w:sz w:val="28"/>
          <w:szCs w:val="28"/>
        </w:rPr>
        <w:t>ритерии эффективности инвестиционного проекта</w:t>
      </w:r>
      <w:r w:rsidR="00443ACF">
        <w:rPr>
          <w:rFonts w:ascii="Times New Roman" w:hAnsi="Times New Roman"/>
          <w:sz w:val="28"/>
          <w:szCs w:val="28"/>
        </w:rPr>
        <w:t xml:space="preserve"> и о</w:t>
      </w:r>
      <w:r w:rsidRPr="007E7DC3">
        <w:rPr>
          <w:rFonts w:ascii="Times New Roman" w:hAnsi="Times New Roman"/>
          <w:sz w:val="28"/>
          <w:szCs w:val="28"/>
        </w:rPr>
        <w:t>ценка эффективности</w:t>
      </w:r>
      <w:r w:rsidR="00443ACF">
        <w:rPr>
          <w:rFonts w:ascii="Times New Roman" w:hAnsi="Times New Roman"/>
          <w:sz w:val="28"/>
          <w:szCs w:val="28"/>
        </w:rPr>
        <w:t>; фи</w:t>
      </w:r>
      <w:r w:rsidRPr="007E7DC3">
        <w:rPr>
          <w:rFonts w:ascii="Times New Roman" w:hAnsi="Times New Roman"/>
          <w:sz w:val="28"/>
          <w:szCs w:val="28"/>
        </w:rPr>
        <w:t>нансовая модель как инструмент для оценки эффективности</w:t>
      </w:r>
      <w:r w:rsidR="00443ACF">
        <w:rPr>
          <w:rFonts w:ascii="Times New Roman" w:hAnsi="Times New Roman"/>
          <w:sz w:val="28"/>
          <w:szCs w:val="28"/>
        </w:rPr>
        <w:t>; у</w:t>
      </w:r>
      <w:r w:rsidR="00443ACF" w:rsidRPr="007E7DC3">
        <w:rPr>
          <w:rFonts w:ascii="Times New Roman" w:hAnsi="Times New Roman"/>
          <w:sz w:val="28"/>
          <w:szCs w:val="28"/>
        </w:rPr>
        <w:t>правление проектами как инструмент привлечения инвестиций</w:t>
      </w:r>
      <w:r w:rsidR="00443ACF">
        <w:rPr>
          <w:rFonts w:ascii="Times New Roman" w:hAnsi="Times New Roman"/>
          <w:sz w:val="28"/>
          <w:szCs w:val="28"/>
        </w:rPr>
        <w:t>; р</w:t>
      </w:r>
      <w:r w:rsidR="00443ACF" w:rsidRPr="007E7DC3">
        <w:rPr>
          <w:rFonts w:ascii="Times New Roman" w:hAnsi="Times New Roman"/>
          <w:sz w:val="28"/>
          <w:szCs w:val="28"/>
        </w:rPr>
        <w:t>еализация инвестиционных проектов создания модульных средств размещения</w:t>
      </w:r>
      <w:r w:rsidR="00B243F1">
        <w:rPr>
          <w:rFonts w:ascii="Times New Roman" w:hAnsi="Times New Roman"/>
          <w:sz w:val="28"/>
          <w:szCs w:val="28"/>
        </w:rPr>
        <w:t xml:space="preserve"> и др. </w:t>
      </w:r>
    </w:p>
    <w:p w14:paraId="050F6AC5" w14:textId="48D79699" w:rsidR="006E5D48" w:rsidRPr="007E7DC3" w:rsidRDefault="00B243F1" w:rsidP="009B28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заданию и при поддержке Департамента экономического развития Югры, Департамента промышленности Югры у</w:t>
      </w:r>
      <w:r w:rsidR="00443ACF">
        <w:rPr>
          <w:rFonts w:ascii="Times New Roman" w:hAnsi="Times New Roman"/>
          <w:sz w:val="28"/>
          <w:szCs w:val="28"/>
        </w:rPr>
        <w:t xml:space="preserve">частники обсудили </w:t>
      </w:r>
      <w:r w:rsidR="00443ACF" w:rsidRPr="007E7DC3">
        <w:rPr>
          <w:rFonts w:ascii="Times New Roman" w:hAnsi="Times New Roman"/>
          <w:sz w:val="28"/>
          <w:szCs w:val="28"/>
        </w:rPr>
        <w:t>план Ханты-Мансийского автономного округа – Югры по привлечению инвестиций на период до 2024 года</w:t>
      </w:r>
      <w:r w:rsidR="00443ACF">
        <w:rPr>
          <w:rFonts w:ascii="Times New Roman" w:hAnsi="Times New Roman"/>
          <w:sz w:val="28"/>
          <w:szCs w:val="28"/>
        </w:rPr>
        <w:t xml:space="preserve">, роль муниципальных образований Югры в реализации данного плана, </w:t>
      </w:r>
      <w:r>
        <w:rPr>
          <w:rFonts w:ascii="Times New Roman" w:hAnsi="Times New Roman"/>
          <w:sz w:val="28"/>
          <w:szCs w:val="28"/>
        </w:rPr>
        <w:t xml:space="preserve">а также </w:t>
      </w:r>
      <w:r w:rsidR="00443ACF">
        <w:rPr>
          <w:rFonts w:ascii="Times New Roman" w:hAnsi="Times New Roman"/>
          <w:sz w:val="28"/>
          <w:szCs w:val="28"/>
        </w:rPr>
        <w:t>определили шаги по его исполнению</w:t>
      </w:r>
      <w:r w:rsidR="009B28F9">
        <w:rPr>
          <w:rFonts w:ascii="Times New Roman" w:hAnsi="Times New Roman"/>
          <w:sz w:val="28"/>
          <w:szCs w:val="28"/>
        </w:rPr>
        <w:t xml:space="preserve"> на </w:t>
      </w:r>
      <w:r w:rsidR="006E5D48" w:rsidRPr="007E7DC3">
        <w:rPr>
          <w:rFonts w:ascii="Times New Roman" w:hAnsi="Times New Roman"/>
          <w:sz w:val="28"/>
          <w:szCs w:val="28"/>
        </w:rPr>
        <w:t>выездны</w:t>
      </w:r>
      <w:r w:rsidR="009B28F9">
        <w:rPr>
          <w:rFonts w:ascii="Times New Roman" w:hAnsi="Times New Roman"/>
          <w:sz w:val="28"/>
          <w:szCs w:val="28"/>
        </w:rPr>
        <w:t>х</w:t>
      </w:r>
      <w:r w:rsidR="006E5D48" w:rsidRPr="007E7DC3">
        <w:rPr>
          <w:rFonts w:ascii="Times New Roman" w:hAnsi="Times New Roman"/>
          <w:sz w:val="28"/>
          <w:szCs w:val="28"/>
        </w:rPr>
        <w:t xml:space="preserve"> стратегически</w:t>
      </w:r>
      <w:r w:rsidR="009B28F9">
        <w:rPr>
          <w:rFonts w:ascii="Times New Roman" w:hAnsi="Times New Roman"/>
          <w:sz w:val="28"/>
          <w:szCs w:val="28"/>
        </w:rPr>
        <w:t>х</w:t>
      </w:r>
      <w:r w:rsidR="006E5D48" w:rsidRPr="007E7DC3">
        <w:rPr>
          <w:rFonts w:ascii="Times New Roman" w:hAnsi="Times New Roman"/>
          <w:sz w:val="28"/>
          <w:szCs w:val="28"/>
        </w:rPr>
        <w:t xml:space="preserve"> сесси</w:t>
      </w:r>
      <w:r w:rsidR="009B28F9">
        <w:rPr>
          <w:rFonts w:ascii="Times New Roman" w:hAnsi="Times New Roman"/>
          <w:sz w:val="28"/>
          <w:szCs w:val="28"/>
        </w:rPr>
        <w:t xml:space="preserve">ях </w:t>
      </w:r>
      <w:r w:rsidR="006E5D48" w:rsidRPr="007E7DC3">
        <w:rPr>
          <w:rFonts w:ascii="Times New Roman" w:hAnsi="Times New Roman"/>
          <w:sz w:val="28"/>
          <w:szCs w:val="28"/>
        </w:rPr>
        <w:t xml:space="preserve">на тему «Реализация в муниципальных образованиях автономного округа ключевых инвестиционных направлений, сформированных в соответствии с Планом Ханты-Мансийского автономного округа – Югры по привлечению инвестиций на период до 2024 года. Точки роста инвестиционной привлекательности Югры». Участниками </w:t>
      </w:r>
      <w:proofErr w:type="spellStart"/>
      <w:r w:rsidR="006E5D48" w:rsidRPr="007E7DC3">
        <w:rPr>
          <w:rFonts w:ascii="Times New Roman" w:hAnsi="Times New Roman"/>
          <w:sz w:val="28"/>
          <w:szCs w:val="28"/>
        </w:rPr>
        <w:t>стратсессий</w:t>
      </w:r>
      <w:proofErr w:type="spellEnd"/>
      <w:r w:rsidR="006E5D48" w:rsidRPr="007E7D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(более 150 человек) </w:t>
      </w:r>
      <w:r w:rsidR="006E5D48" w:rsidRPr="007E7DC3">
        <w:rPr>
          <w:rFonts w:ascii="Times New Roman" w:hAnsi="Times New Roman"/>
          <w:sz w:val="28"/>
          <w:szCs w:val="28"/>
        </w:rPr>
        <w:t>стали представители органов государственной власти</w:t>
      </w:r>
      <w:r w:rsidR="009B28F9">
        <w:rPr>
          <w:rFonts w:ascii="Times New Roman" w:hAnsi="Times New Roman"/>
          <w:sz w:val="28"/>
          <w:szCs w:val="28"/>
        </w:rPr>
        <w:t xml:space="preserve">, </w:t>
      </w:r>
      <w:r w:rsidR="006E5D48" w:rsidRPr="007E7DC3">
        <w:rPr>
          <w:rFonts w:ascii="Times New Roman" w:hAnsi="Times New Roman"/>
          <w:sz w:val="28"/>
          <w:szCs w:val="28"/>
        </w:rPr>
        <w:t>органов местного самоуправления, а также представители предпринимательского сообщества. С учетом неоднородности отраслевого и социально-экономического развития территорий, разницы их ресурсного потенциала выездны</w:t>
      </w:r>
      <w:r w:rsidR="00443ACF">
        <w:rPr>
          <w:rFonts w:ascii="Times New Roman" w:hAnsi="Times New Roman"/>
          <w:sz w:val="28"/>
          <w:szCs w:val="28"/>
        </w:rPr>
        <w:t>е</w:t>
      </w:r>
      <w:r w:rsidR="006E5D48" w:rsidRPr="007E7DC3">
        <w:rPr>
          <w:rFonts w:ascii="Times New Roman" w:hAnsi="Times New Roman"/>
          <w:sz w:val="28"/>
          <w:szCs w:val="28"/>
        </w:rPr>
        <w:t xml:space="preserve"> стратегически</w:t>
      </w:r>
      <w:r w:rsidR="00443ACF">
        <w:rPr>
          <w:rFonts w:ascii="Times New Roman" w:hAnsi="Times New Roman"/>
          <w:sz w:val="28"/>
          <w:szCs w:val="28"/>
        </w:rPr>
        <w:t>е</w:t>
      </w:r>
      <w:r w:rsidR="006E5D48" w:rsidRPr="007E7DC3">
        <w:rPr>
          <w:rFonts w:ascii="Times New Roman" w:hAnsi="Times New Roman"/>
          <w:sz w:val="28"/>
          <w:szCs w:val="28"/>
        </w:rPr>
        <w:t xml:space="preserve"> сесси</w:t>
      </w:r>
      <w:r w:rsidR="00443ACF">
        <w:rPr>
          <w:rFonts w:ascii="Times New Roman" w:hAnsi="Times New Roman"/>
          <w:sz w:val="28"/>
          <w:szCs w:val="28"/>
        </w:rPr>
        <w:t>и</w:t>
      </w:r>
      <w:r w:rsidR="006E5D48" w:rsidRPr="007E7DC3">
        <w:rPr>
          <w:rFonts w:ascii="Times New Roman" w:hAnsi="Times New Roman"/>
          <w:sz w:val="28"/>
          <w:szCs w:val="28"/>
        </w:rPr>
        <w:t xml:space="preserve"> пр</w:t>
      </w:r>
      <w:r w:rsidR="00443ACF">
        <w:rPr>
          <w:rFonts w:ascii="Times New Roman" w:hAnsi="Times New Roman"/>
          <w:sz w:val="28"/>
          <w:szCs w:val="28"/>
        </w:rPr>
        <w:t xml:space="preserve">оведены </w:t>
      </w:r>
      <w:r w:rsidR="006E5D48" w:rsidRPr="007E7DC3">
        <w:rPr>
          <w:rFonts w:ascii="Times New Roman" w:hAnsi="Times New Roman"/>
          <w:sz w:val="28"/>
          <w:szCs w:val="28"/>
        </w:rPr>
        <w:t>в четырех муниципальных образованиях Югры по кустовому принципу: г. Сургут</w:t>
      </w:r>
      <w:r w:rsidR="009B28F9">
        <w:rPr>
          <w:rFonts w:ascii="Times New Roman" w:hAnsi="Times New Roman"/>
          <w:sz w:val="28"/>
          <w:szCs w:val="28"/>
        </w:rPr>
        <w:t>,</w:t>
      </w:r>
      <w:r w:rsidR="00443ACF">
        <w:rPr>
          <w:rFonts w:ascii="Times New Roman" w:hAnsi="Times New Roman"/>
          <w:sz w:val="28"/>
          <w:szCs w:val="28"/>
        </w:rPr>
        <w:t xml:space="preserve"> </w:t>
      </w:r>
      <w:r w:rsidR="006E5D48" w:rsidRPr="007E7DC3">
        <w:rPr>
          <w:rFonts w:ascii="Times New Roman" w:hAnsi="Times New Roman"/>
          <w:sz w:val="28"/>
          <w:szCs w:val="28"/>
        </w:rPr>
        <w:t xml:space="preserve">г. </w:t>
      </w:r>
      <w:proofErr w:type="spellStart"/>
      <w:r w:rsidR="006E5D48" w:rsidRPr="007E7DC3">
        <w:rPr>
          <w:rFonts w:ascii="Times New Roman" w:hAnsi="Times New Roman"/>
          <w:sz w:val="28"/>
          <w:szCs w:val="28"/>
        </w:rPr>
        <w:t>Урай</w:t>
      </w:r>
      <w:proofErr w:type="spellEnd"/>
      <w:r w:rsidR="009B28F9">
        <w:rPr>
          <w:rFonts w:ascii="Times New Roman" w:hAnsi="Times New Roman"/>
          <w:sz w:val="28"/>
          <w:szCs w:val="28"/>
        </w:rPr>
        <w:t>,</w:t>
      </w:r>
      <w:r w:rsidR="00443AC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E5D48" w:rsidRPr="007E7DC3">
        <w:rPr>
          <w:rFonts w:ascii="Times New Roman" w:hAnsi="Times New Roman"/>
          <w:sz w:val="28"/>
          <w:szCs w:val="28"/>
        </w:rPr>
        <w:t>г.Ханты-Мансийск</w:t>
      </w:r>
      <w:proofErr w:type="spellEnd"/>
      <w:r w:rsidR="009B28F9">
        <w:rPr>
          <w:rFonts w:ascii="Times New Roman" w:hAnsi="Times New Roman"/>
          <w:sz w:val="28"/>
          <w:szCs w:val="28"/>
        </w:rPr>
        <w:t xml:space="preserve">, </w:t>
      </w:r>
      <w:r w:rsidR="006E5D48" w:rsidRPr="007E7DC3">
        <w:rPr>
          <w:rFonts w:ascii="Times New Roman" w:hAnsi="Times New Roman"/>
          <w:sz w:val="28"/>
          <w:szCs w:val="28"/>
        </w:rPr>
        <w:t>г. Нижневартовск.</w:t>
      </w:r>
      <w:r w:rsidR="009B28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210 бизнес-идей, предложенных участниками, прошли оценку 323 экспертов. </w:t>
      </w:r>
      <w:r w:rsidR="006E5D48" w:rsidRPr="007E7DC3">
        <w:rPr>
          <w:rFonts w:ascii="Times New Roman" w:hAnsi="Times New Roman"/>
          <w:sz w:val="28"/>
          <w:szCs w:val="28"/>
        </w:rPr>
        <w:t>Итогом стали ранжированные перечни перспективных бизнес-идей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6E5D48" w:rsidRPr="007E7DC3">
        <w:rPr>
          <w:rFonts w:ascii="Times New Roman" w:hAnsi="Times New Roman"/>
          <w:sz w:val="28"/>
          <w:szCs w:val="28"/>
        </w:rPr>
        <w:t>в разрезе муниципальных образований</w:t>
      </w:r>
      <w:r>
        <w:rPr>
          <w:rFonts w:ascii="Times New Roman" w:hAnsi="Times New Roman"/>
          <w:sz w:val="28"/>
          <w:szCs w:val="28"/>
        </w:rPr>
        <w:t xml:space="preserve"> (22)</w:t>
      </w:r>
      <w:r w:rsidR="006E5D48" w:rsidRPr="007E7DC3">
        <w:rPr>
          <w:rFonts w:ascii="Times New Roman" w:hAnsi="Times New Roman"/>
          <w:sz w:val="28"/>
          <w:szCs w:val="28"/>
        </w:rPr>
        <w:t xml:space="preserve"> и предложения в виде реестра первоочередных действий исполнительных органов государственной власти автономного округа и органов местного самоуправления по их поддержке.</w:t>
      </w:r>
    </w:p>
    <w:p w14:paraId="773D5D64" w14:textId="77777777" w:rsidR="00FC6F5F" w:rsidRDefault="00FC6F5F" w:rsidP="00FC6F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 участии </w:t>
      </w:r>
      <w:r w:rsidRPr="007E7DC3">
        <w:rPr>
          <w:rFonts w:ascii="Times New Roman" w:hAnsi="Times New Roman"/>
          <w:sz w:val="28"/>
          <w:szCs w:val="28"/>
        </w:rPr>
        <w:t xml:space="preserve">Департамента недропользования и природных ресурсов автономного округа </w:t>
      </w:r>
      <w:r>
        <w:rPr>
          <w:rFonts w:ascii="Times New Roman" w:hAnsi="Times New Roman"/>
          <w:sz w:val="28"/>
          <w:szCs w:val="28"/>
        </w:rPr>
        <w:t xml:space="preserve">рассмотрены сложные вопросы </w:t>
      </w:r>
      <w:r w:rsidRPr="000C157D">
        <w:rPr>
          <w:rFonts w:ascii="Times New Roman" w:hAnsi="Times New Roman"/>
          <w:sz w:val="28"/>
          <w:szCs w:val="28"/>
        </w:rPr>
        <w:t>перевода земельных участков из состава земель лесного фонда в земли иных категорий и разработки и утверждения градостроительных планов при пересечении с землями лесного фонда</w:t>
      </w:r>
      <w:r>
        <w:rPr>
          <w:rFonts w:ascii="Times New Roman" w:hAnsi="Times New Roman"/>
          <w:sz w:val="28"/>
          <w:szCs w:val="28"/>
        </w:rPr>
        <w:t xml:space="preserve"> применительно к работе с инвестиционными проектами. </w:t>
      </w:r>
    </w:p>
    <w:p w14:paraId="3F20B69F" w14:textId="53D371B9" w:rsidR="006E5D48" w:rsidRPr="007E7DC3" w:rsidRDefault="009B28F9" w:rsidP="009B28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Ряд мероприятий был посвящен эффективности работы сотрудников, руководителей подразделений, инвестиционной команды в целом – например </w:t>
      </w:r>
      <w:r w:rsidRPr="007E7DC3">
        <w:rPr>
          <w:rFonts w:ascii="Times New Roman" w:hAnsi="Times New Roman"/>
          <w:sz w:val="28"/>
          <w:szCs w:val="28"/>
        </w:rPr>
        <w:t>онлайн-курс</w:t>
      </w:r>
      <w:r>
        <w:rPr>
          <w:rFonts w:ascii="Times New Roman" w:hAnsi="Times New Roman"/>
          <w:sz w:val="28"/>
          <w:szCs w:val="28"/>
        </w:rPr>
        <w:t>ы</w:t>
      </w:r>
      <w:r w:rsidRPr="007E7D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мастер-классы </w:t>
      </w:r>
      <w:r w:rsidRPr="007E7DC3">
        <w:rPr>
          <w:rFonts w:ascii="Times New Roman" w:hAnsi="Times New Roman"/>
          <w:sz w:val="28"/>
          <w:szCs w:val="28"/>
        </w:rPr>
        <w:t>«Как использовать ресурсы мозга для повышения эффективности в работе и жизни», «Коммуникации и публичные выступления», «Эффективная команда: работа на результат», «Эффективный тайм-менеджмент. Навыки планирования»</w:t>
      </w:r>
      <w:r>
        <w:rPr>
          <w:rFonts w:ascii="Times New Roman" w:hAnsi="Times New Roman"/>
          <w:sz w:val="28"/>
          <w:szCs w:val="28"/>
        </w:rPr>
        <w:t xml:space="preserve">, </w:t>
      </w:r>
      <w:r w:rsidR="006E5D48" w:rsidRPr="007E7DC3">
        <w:rPr>
          <w:rFonts w:ascii="Times New Roman" w:hAnsi="Times New Roman"/>
          <w:sz w:val="28"/>
          <w:szCs w:val="28"/>
        </w:rPr>
        <w:t>«Цифровая трансформация»</w:t>
      </w:r>
      <w:r>
        <w:rPr>
          <w:rFonts w:ascii="Times New Roman" w:hAnsi="Times New Roman"/>
          <w:sz w:val="28"/>
          <w:szCs w:val="28"/>
        </w:rPr>
        <w:t>.</w:t>
      </w:r>
    </w:p>
    <w:p w14:paraId="650ACD19" w14:textId="2B67B889" w:rsidR="006E5D48" w:rsidRPr="007E7DC3" w:rsidRDefault="009B28F9" w:rsidP="006E5D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6E5D48" w:rsidRPr="007E7DC3">
        <w:rPr>
          <w:rFonts w:ascii="Times New Roman" w:hAnsi="Times New Roman"/>
          <w:sz w:val="28"/>
          <w:szCs w:val="28"/>
        </w:rPr>
        <w:t>тоговое тестирование участников проекта показал</w:t>
      </w:r>
      <w:r>
        <w:rPr>
          <w:rFonts w:ascii="Times New Roman" w:hAnsi="Times New Roman"/>
          <w:sz w:val="28"/>
          <w:szCs w:val="28"/>
        </w:rPr>
        <w:t>о</w:t>
      </w:r>
      <w:r w:rsidR="006E5D48" w:rsidRPr="007E7DC3">
        <w:rPr>
          <w:rFonts w:ascii="Times New Roman" w:hAnsi="Times New Roman"/>
          <w:sz w:val="28"/>
          <w:szCs w:val="28"/>
        </w:rPr>
        <w:t xml:space="preserve"> рост профессиональных компетенций участников проекта. Так, на 15% повысились эффективность </w:t>
      </w:r>
      <w:r>
        <w:rPr>
          <w:rFonts w:ascii="Times New Roman" w:hAnsi="Times New Roman"/>
          <w:sz w:val="28"/>
          <w:szCs w:val="28"/>
        </w:rPr>
        <w:t xml:space="preserve">их </w:t>
      </w:r>
      <w:r w:rsidR="006E5D48" w:rsidRPr="007E7DC3">
        <w:rPr>
          <w:rFonts w:ascii="Times New Roman" w:hAnsi="Times New Roman"/>
          <w:sz w:val="28"/>
          <w:szCs w:val="28"/>
        </w:rPr>
        <w:t xml:space="preserve">командной работы, на 7% вырос уровень аналитических навыков, а также навыки стратегического планирования и анализа, навык командной коммуникации вырос на 12%, общий уровень мотивации в группе увеличился на 6%.  Кроме того, </w:t>
      </w:r>
      <w:r w:rsidRPr="007E7DC3">
        <w:rPr>
          <w:rFonts w:ascii="Times New Roman" w:hAnsi="Times New Roman"/>
          <w:sz w:val="28"/>
          <w:szCs w:val="28"/>
        </w:rPr>
        <w:t xml:space="preserve">участниками планируется использовать в профессиональной деятельности </w:t>
      </w:r>
      <w:r w:rsidR="006E5D48" w:rsidRPr="007E7DC3">
        <w:rPr>
          <w:rFonts w:ascii="Times New Roman" w:hAnsi="Times New Roman"/>
          <w:sz w:val="28"/>
          <w:szCs w:val="28"/>
        </w:rPr>
        <w:t>70% из предложенных в процессе обучения механизмов.</w:t>
      </w:r>
    </w:p>
    <w:p w14:paraId="6A6B2207" w14:textId="46C5F42B" w:rsidR="006E5D48" w:rsidRPr="007E7DC3" w:rsidRDefault="009B28F9" w:rsidP="006E5D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участников проекта достигло 140 человек. В результате проекта они </w:t>
      </w:r>
      <w:r w:rsidR="006E5D48" w:rsidRPr="007E7DC3">
        <w:rPr>
          <w:rFonts w:ascii="Times New Roman" w:hAnsi="Times New Roman"/>
          <w:sz w:val="28"/>
          <w:szCs w:val="28"/>
        </w:rPr>
        <w:t xml:space="preserve">получили необходимые профессиональные компетенции: знания об инвестиционной экосистеме, финансовой и социальной эффективности проекта, возможностях управления проектами; </w:t>
      </w:r>
      <w:r>
        <w:rPr>
          <w:rFonts w:ascii="Times New Roman" w:hAnsi="Times New Roman"/>
          <w:sz w:val="28"/>
          <w:szCs w:val="28"/>
        </w:rPr>
        <w:t>с</w:t>
      </w:r>
      <w:r w:rsidR="006E5D48" w:rsidRPr="007E7DC3">
        <w:rPr>
          <w:rFonts w:ascii="Times New Roman" w:hAnsi="Times New Roman"/>
          <w:sz w:val="28"/>
          <w:szCs w:val="28"/>
        </w:rPr>
        <w:t>формирован</w:t>
      </w:r>
      <w:r>
        <w:rPr>
          <w:rFonts w:ascii="Times New Roman" w:hAnsi="Times New Roman"/>
          <w:sz w:val="28"/>
          <w:szCs w:val="28"/>
        </w:rPr>
        <w:t xml:space="preserve">а группа профессионалов – единомышленников, </w:t>
      </w:r>
      <w:r w:rsidR="006E5D48" w:rsidRPr="007E7DC3">
        <w:rPr>
          <w:rFonts w:ascii="Times New Roman" w:hAnsi="Times New Roman"/>
          <w:sz w:val="28"/>
          <w:szCs w:val="28"/>
        </w:rPr>
        <w:t xml:space="preserve">определился «актив» (20 человек); появился </w:t>
      </w:r>
      <w:r>
        <w:rPr>
          <w:rFonts w:ascii="Times New Roman" w:hAnsi="Times New Roman"/>
          <w:sz w:val="28"/>
          <w:szCs w:val="28"/>
        </w:rPr>
        <w:t xml:space="preserve">дополнительный </w:t>
      </w:r>
      <w:r w:rsidR="006E5D48" w:rsidRPr="007E7DC3">
        <w:rPr>
          <w:rFonts w:ascii="Times New Roman" w:hAnsi="Times New Roman"/>
          <w:sz w:val="28"/>
          <w:szCs w:val="28"/>
        </w:rPr>
        <w:t>канал коммуникации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7DC3">
        <w:rPr>
          <w:rFonts w:ascii="Times New Roman" w:hAnsi="Times New Roman"/>
          <w:sz w:val="28"/>
          <w:szCs w:val="28"/>
        </w:rPr>
        <w:t>«регион</w:t>
      </w:r>
      <w:r>
        <w:rPr>
          <w:rFonts w:ascii="Times New Roman" w:hAnsi="Times New Roman"/>
          <w:sz w:val="28"/>
          <w:szCs w:val="28"/>
        </w:rPr>
        <w:t>-</w:t>
      </w:r>
      <w:r w:rsidRPr="007E7DC3">
        <w:rPr>
          <w:rFonts w:ascii="Times New Roman" w:hAnsi="Times New Roman"/>
          <w:sz w:val="28"/>
          <w:szCs w:val="28"/>
        </w:rPr>
        <w:t>муниципалитет»,</w:t>
      </w:r>
      <w:r w:rsidR="006E5D48" w:rsidRPr="007E7DC3">
        <w:rPr>
          <w:rFonts w:ascii="Times New Roman" w:hAnsi="Times New Roman"/>
          <w:sz w:val="28"/>
          <w:szCs w:val="28"/>
        </w:rPr>
        <w:t xml:space="preserve"> который </w:t>
      </w:r>
      <w:r>
        <w:rPr>
          <w:rFonts w:ascii="Times New Roman" w:hAnsi="Times New Roman"/>
          <w:sz w:val="28"/>
          <w:szCs w:val="28"/>
        </w:rPr>
        <w:t>необходимо</w:t>
      </w:r>
      <w:r w:rsidR="006E5D48" w:rsidRPr="007E7DC3">
        <w:rPr>
          <w:rFonts w:ascii="Times New Roman" w:hAnsi="Times New Roman"/>
          <w:sz w:val="28"/>
          <w:szCs w:val="28"/>
        </w:rPr>
        <w:t xml:space="preserve"> развивать; ОМСУ сформировали ранжированный перечень бизнес-идей, которые можно использовать при определении рабочих проектов на следующем этапе развития команд; подготовлена основа для следующего этапа – акселерации проектов, инкубации команд. </w:t>
      </w:r>
    </w:p>
    <w:p w14:paraId="2B05609A" w14:textId="42583FF4" w:rsidR="006E5D48" w:rsidRDefault="009B28F9" w:rsidP="006E5D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7DC3">
        <w:rPr>
          <w:rFonts w:ascii="Times New Roman" w:hAnsi="Times New Roman"/>
          <w:sz w:val="28"/>
          <w:szCs w:val="28"/>
        </w:rPr>
        <w:lastRenderedPageBreak/>
        <w:t xml:space="preserve">На полях ЮПИФ </w:t>
      </w:r>
      <w:r w:rsidRPr="007E7DC3">
        <w:rPr>
          <w:rFonts w:ascii="Times New Roman" w:hAnsi="Times New Roman"/>
          <w:sz w:val="28"/>
          <w:szCs w:val="28"/>
          <w:lang w:val="en-US"/>
        </w:rPr>
        <w:t>XI</w:t>
      </w:r>
      <w:r w:rsidRPr="007E7DC3">
        <w:rPr>
          <w:rFonts w:ascii="Times New Roman" w:hAnsi="Times New Roman"/>
          <w:sz w:val="28"/>
          <w:szCs w:val="28"/>
        </w:rPr>
        <w:t xml:space="preserve"> 30 сентября 2022 года подведены итоги первой ступени проекта и дан старт </w:t>
      </w:r>
      <w:proofErr w:type="spellStart"/>
      <w:r w:rsidRPr="007E7DC3">
        <w:rPr>
          <w:rFonts w:ascii="Times New Roman" w:hAnsi="Times New Roman"/>
          <w:sz w:val="28"/>
          <w:szCs w:val="28"/>
        </w:rPr>
        <w:t>Инвестшколе</w:t>
      </w:r>
      <w:proofErr w:type="spellEnd"/>
      <w:r w:rsidRPr="007E7DC3">
        <w:rPr>
          <w:rFonts w:ascii="Times New Roman" w:hAnsi="Times New Roman"/>
          <w:sz w:val="28"/>
          <w:szCs w:val="28"/>
        </w:rPr>
        <w:t xml:space="preserve"> 2.0. </w:t>
      </w:r>
      <w:r>
        <w:rPr>
          <w:rFonts w:ascii="Times New Roman" w:hAnsi="Times New Roman"/>
          <w:sz w:val="28"/>
          <w:szCs w:val="28"/>
        </w:rPr>
        <w:t>(сроки реализации ноябрь 2022 года – декабрь 2023 года). Вторая с</w:t>
      </w:r>
      <w:r w:rsidR="00B243F1">
        <w:rPr>
          <w:rFonts w:ascii="Times New Roman" w:hAnsi="Times New Roman"/>
          <w:sz w:val="28"/>
          <w:szCs w:val="28"/>
        </w:rPr>
        <w:t xml:space="preserve">тупень направлена на решение не только учебных, но и практических задач и </w:t>
      </w:r>
      <w:r>
        <w:rPr>
          <w:rFonts w:ascii="Times New Roman" w:hAnsi="Times New Roman"/>
          <w:sz w:val="28"/>
          <w:szCs w:val="28"/>
        </w:rPr>
        <w:t>предусматривает более</w:t>
      </w:r>
      <w:r w:rsidR="006E5D48" w:rsidRPr="007E7DC3">
        <w:rPr>
          <w:rFonts w:ascii="Times New Roman" w:hAnsi="Times New Roman"/>
          <w:sz w:val="28"/>
          <w:szCs w:val="28"/>
        </w:rPr>
        <w:t xml:space="preserve"> углубленное обучение по актуальной профессиональной проблематике (государственно/</w:t>
      </w:r>
      <w:proofErr w:type="spellStart"/>
      <w:r w:rsidR="006E5D48" w:rsidRPr="007E7DC3">
        <w:rPr>
          <w:rFonts w:ascii="Times New Roman" w:hAnsi="Times New Roman"/>
          <w:sz w:val="28"/>
          <w:szCs w:val="28"/>
        </w:rPr>
        <w:t>муниципально</w:t>
      </w:r>
      <w:proofErr w:type="spellEnd"/>
      <w:r w:rsidR="006E5D48" w:rsidRPr="007E7DC3">
        <w:rPr>
          <w:rFonts w:ascii="Times New Roman" w:hAnsi="Times New Roman"/>
          <w:sz w:val="28"/>
          <w:szCs w:val="28"/>
        </w:rPr>
        <w:t>-частное партнерство, антикризисное управление и др.), инвестиционное профилирование муниципалитетов</w:t>
      </w:r>
      <w:r>
        <w:rPr>
          <w:rFonts w:ascii="Times New Roman" w:hAnsi="Times New Roman"/>
          <w:sz w:val="28"/>
          <w:szCs w:val="28"/>
        </w:rPr>
        <w:t xml:space="preserve"> и</w:t>
      </w:r>
      <w:r w:rsidR="006E5D48" w:rsidRPr="007E7DC3">
        <w:rPr>
          <w:rFonts w:ascii="Times New Roman" w:hAnsi="Times New Roman"/>
          <w:sz w:val="28"/>
          <w:szCs w:val="28"/>
        </w:rPr>
        <w:t xml:space="preserve"> разработку инвестиционных паспортов, акселерацию конкретных инвестпроектов и развитие муниципальных инвестиционных команд. </w:t>
      </w:r>
    </w:p>
    <w:p w14:paraId="65DA7224" w14:textId="487890E0" w:rsidR="006E5D48" w:rsidRPr="002B74D0" w:rsidRDefault="006E5D48" w:rsidP="00B243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Учитывая актуальность применения механизмов </w:t>
      </w:r>
      <w:r w:rsidRPr="002B74D0">
        <w:rPr>
          <w:rFonts w:ascii="Times New Roman" w:hAnsi="Times New Roman"/>
          <w:sz w:val="28"/>
          <w:szCs w:val="28"/>
        </w:rPr>
        <w:t xml:space="preserve">государственно частного партнерства при реализации инвестпроектов, совместно с Национальным центром ГЧП </w:t>
      </w:r>
      <w:r w:rsidR="00B243F1">
        <w:rPr>
          <w:rFonts w:ascii="Times New Roman" w:hAnsi="Times New Roman"/>
          <w:sz w:val="28"/>
          <w:szCs w:val="28"/>
        </w:rPr>
        <w:t xml:space="preserve">в 4 квартале 2022 года </w:t>
      </w:r>
      <w:r w:rsidRPr="002B74D0">
        <w:rPr>
          <w:rFonts w:ascii="Times New Roman" w:hAnsi="Times New Roman"/>
          <w:sz w:val="28"/>
          <w:szCs w:val="28"/>
        </w:rPr>
        <w:t>разработана и реализована специальная обучающая акселерационная программа «Применение государственно-частного партнерства для развития общественно значимой инфраструктуры Ханты-Мансийского автономного округа - Югры»</w:t>
      </w:r>
      <w:r>
        <w:rPr>
          <w:rFonts w:ascii="Times New Roman" w:hAnsi="Times New Roman"/>
          <w:sz w:val="28"/>
          <w:szCs w:val="28"/>
        </w:rPr>
        <w:t xml:space="preserve">. </w:t>
      </w:r>
      <w:r w:rsidR="00FC6F5F">
        <w:rPr>
          <w:rFonts w:ascii="Times New Roman" w:hAnsi="Times New Roman"/>
          <w:sz w:val="28"/>
          <w:szCs w:val="28"/>
        </w:rPr>
        <w:t xml:space="preserve">Проведена программа </w:t>
      </w:r>
      <w:r w:rsidR="00FC6F5F" w:rsidRPr="00336F08">
        <w:rPr>
          <w:rFonts w:ascii="Times New Roman" w:hAnsi="Times New Roman"/>
          <w:sz w:val="28"/>
          <w:szCs w:val="28"/>
        </w:rPr>
        <w:t xml:space="preserve">«Антикризисное управление» </w:t>
      </w:r>
      <w:r w:rsidR="00FC6F5F">
        <w:rPr>
          <w:rFonts w:ascii="Times New Roman" w:hAnsi="Times New Roman"/>
          <w:sz w:val="28"/>
          <w:szCs w:val="28"/>
        </w:rPr>
        <w:t>для руководителей. В целом обучено</w:t>
      </w:r>
      <w:r>
        <w:rPr>
          <w:rFonts w:ascii="Times New Roman" w:hAnsi="Times New Roman"/>
          <w:sz w:val="28"/>
          <w:szCs w:val="28"/>
        </w:rPr>
        <w:t xml:space="preserve"> </w:t>
      </w:r>
      <w:r w:rsidR="00FC6F5F">
        <w:rPr>
          <w:rFonts w:ascii="Times New Roman" w:hAnsi="Times New Roman"/>
          <w:sz w:val="28"/>
          <w:szCs w:val="28"/>
        </w:rPr>
        <w:t>более 100</w:t>
      </w:r>
      <w:r>
        <w:rPr>
          <w:rFonts w:ascii="Times New Roman" w:hAnsi="Times New Roman"/>
          <w:sz w:val="28"/>
          <w:szCs w:val="28"/>
        </w:rPr>
        <w:t xml:space="preserve"> человек (сотрудники органов местного самоуправления муниципальных образований и заинтересованных органов государственной власти Югры). </w:t>
      </w:r>
    </w:p>
    <w:p w14:paraId="3323587C" w14:textId="7C94B357" w:rsidR="006E5D48" w:rsidRPr="00BE3DE7" w:rsidRDefault="006E5D48" w:rsidP="006E5D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</w:t>
      </w:r>
      <w:r w:rsidR="00B243F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B243F1">
        <w:rPr>
          <w:rFonts w:ascii="Times New Roman" w:hAnsi="Times New Roman"/>
          <w:sz w:val="28"/>
          <w:szCs w:val="28"/>
        </w:rPr>
        <w:t xml:space="preserve">Фондом </w:t>
      </w:r>
      <w:r>
        <w:rPr>
          <w:rFonts w:ascii="Times New Roman" w:hAnsi="Times New Roman"/>
          <w:sz w:val="28"/>
          <w:szCs w:val="28"/>
        </w:rPr>
        <w:t xml:space="preserve">в 2022 году разработана и реализована  система мероприятий </w:t>
      </w:r>
      <w:r w:rsidRPr="00BE3DE7">
        <w:rPr>
          <w:rFonts w:ascii="Times New Roman" w:hAnsi="Times New Roman"/>
          <w:sz w:val="28"/>
          <w:szCs w:val="28"/>
        </w:rPr>
        <w:t>по содействию совершенствованию системы государственного и муниципального управления в Югре, в том числе развитию проектного управления и современных управленческих технологий и компетенций, посредством обучения и развития региональной команды в сфере деятельности Фонда в целях реализации промышленной политики, создания в Югре благоприятного инвестиционного климата, развития инвестиционной деятельности.</w:t>
      </w:r>
    </w:p>
    <w:p w14:paraId="1DA8A264" w14:textId="77777777" w:rsidR="006C58AC" w:rsidRDefault="006C58AC" w:rsidP="005723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7CDCEA8" w14:textId="77777777" w:rsidR="006C58AC" w:rsidRDefault="006C58AC" w:rsidP="005723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248814B" w14:textId="77777777" w:rsidR="00572377" w:rsidRDefault="00572377" w:rsidP="002339BC">
      <w:pPr>
        <w:pStyle w:val="a3"/>
        <w:spacing w:after="120" w:line="360" w:lineRule="auto"/>
        <w:ind w:left="0" w:firstLine="709"/>
        <w:contextualSpacing w:val="0"/>
        <w:jc w:val="both"/>
        <w:outlineLvl w:val="1"/>
        <w:rPr>
          <w:rFonts w:ascii="PT Astra Serif" w:hAnsi="PT Astra Serif" w:cs="Times New Roman"/>
          <w:b/>
          <w:bCs/>
          <w:sz w:val="28"/>
          <w:szCs w:val="28"/>
        </w:rPr>
      </w:pPr>
      <w:bookmarkStart w:id="1" w:name="_Toc44923349"/>
    </w:p>
    <w:p w14:paraId="5E6C1E26" w14:textId="2D8DC197" w:rsidR="00A173B4" w:rsidRPr="0010377A" w:rsidRDefault="00A173B4" w:rsidP="002339BC">
      <w:pPr>
        <w:pStyle w:val="a3"/>
        <w:spacing w:after="120" w:line="360" w:lineRule="auto"/>
        <w:ind w:left="0" w:firstLine="709"/>
        <w:contextualSpacing w:val="0"/>
        <w:jc w:val="both"/>
        <w:outlineLvl w:val="1"/>
        <w:rPr>
          <w:rFonts w:ascii="PT Astra Serif" w:hAnsi="PT Astra Serif" w:cs="Times New Roman"/>
          <w:b/>
          <w:bCs/>
          <w:sz w:val="28"/>
          <w:szCs w:val="28"/>
        </w:rPr>
      </w:pPr>
      <w:r w:rsidRPr="0010377A">
        <w:rPr>
          <w:rFonts w:ascii="PT Astra Serif" w:hAnsi="PT Astra Serif" w:cs="Times New Roman"/>
          <w:b/>
          <w:bCs/>
          <w:sz w:val="28"/>
          <w:szCs w:val="28"/>
        </w:rPr>
        <w:lastRenderedPageBreak/>
        <w:t>Перспективные стратегические направления развития</w:t>
      </w:r>
      <w:bookmarkEnd w:id="1"/>
      <w:r w:rsidR="002339BC" w:rsidRPr="0010377A">
        <w:rPr>
          <w:rFonts w:ascii="PT Astra Serif" w:hAnsi="PT Astra Serif" w:cs="Times New Roman"/>
          <w:b/>
          <w:bCs/>
          <w:sz w:val="28"/>
          <w:szCs w:val="28"/>
        </w:rPr>
        <w:t xml:space="preserve"> Фонда развития Югры</w:t>
      </w:r>
      <w:r w:rsidRPr="0010377A">
        <w:rPr>
          <w:rFonts w:ascii="PT Astra Serif" w:hAnsi="PT Astra Serif" w:cs="Times New Roman"/>
          <w:b/>
          <w:bCs/>
          <w:sz w:val="28"/>
          <w:szCs w:val="28"/>
        </w:rPr>
        <w:t>:</w:t>
      </w:r>
    </w:p>
    <w:p w14:paraId="74CD71F1" w14:textId="630AE478" w:rsidR="00A173B4" w:rsidRPr="0010377A" w:rsidRDefault="002339BC" w:rsidP="007F53DD">
      <w:pPr>
        <w:pStyle w:val="a3"/>
        <w:numPr>
          <w:ilvl w:val="0"/>
          <w:numId w:val="3"/>
        </w:numPr>
        <w:tabs>
          <w:tab w:val="left" w:pos="1134"/>
        </w:tabs>
        <w:spacing w:after="12" w:line="360" w:lineRule="auto"/>
        <w:ind w:left="0" w:firstLine="709"/>
        <w:contextualSpacing w:val="0"/>
        <w:jc w:val="both"/>
        <w:outlineLvl w:val="1"/>
        <w:rPr>
          <w:rFonts w:ascii="PT Astra Serif" w:hAnsi="PT Astra Serif" w:cs="Times New Roman"/>
          <w:bCs/>
          <w:sz w:val="28"/>
          <w:szCs w:val="28"/>
        </w:rPr>
      </w:pPr>
      <w:r w:rsidRPr="0010377A">
        <w:rPr>
          <w:rFonts w:ascii="PT Astra Serif" w:hAnsi="PT Astra Serif" w:cs="Times New Roman"/>
          <w:bCs/>
          <w:sz w:val="28"/>
          <w:szCs w:val="28"/>
        </w:rPr>
        <w:t xml:space="preserve">Развитие </w:t>
      </w:r>
      <w:r w:rsidR="00886E16" w:rsidRPr="0010377A">
        <w:rPr>
          <w:rFonts w:ascii="PT Astra Serif" w:hAnsi="PT Astra Serif" w:cs="Times New Roman"/>
          <w:bCs/>
          <w:sz w:val="28"/>
          <w:szCs w:val="28"/>
        </w:rPr>
        <w:t xml:space="preserve">интерактивных информационных ресурсов/систем в сети интернет: </w:t>
      </w:r>
      <w:r w:rsidR="00A173B4" w:rsidRPr="0010377A">
        <w:rPr>
          <w:rFonts w:ascii="PT Astra Serif" w:hAnsi="PT Astra Serif" w:cs="Times New Roman"/>
          <w:bCs/>
          <w:sz w:val="28"/>
          <w:szCs w:val="28"/>
          <w:lang w:val="en-US"/>
        </w:rPr>
        <w:t>IT</w:t>
      </w:r>
      <w:r w:rsidR="00A173B4" w:rsidRPr="0010377A">
        <w:rPr>
          <w:rFonts w:ascii="PT Astra Serif" w:hAnsi="PT Astra Serif" w:cs="Times New Roman"/>
          <w:bCs/>
          <w:sz w:val="28"/>
          <w:szCs w:val="28"/>
        </w:rPr>
        <w:t xml:space="preserve"> (Инвестиционный бюджет)</w:t>
      </w:r>
      <w:r w:rsidR="00886E16" w:rsidRPr="0010377A">
        <w:rPr>
          <w:rFonts w:ascii="PT Astra Serif" w:hAnsi="PT Astra Serif" w:cs="Times New Roman"/>
          <w:bCs/>
          <w:sz w:val="28"/>
          <w:szCs w:val="28"/>
        </w:rPr>
        <w:t xml:space="preserve">, </w:t>
      </w:r>
      <w:r w:rsidR="00886E16" w:rsidRPr="0010377A">
        <w:rPr>
          <w:rFonts w:ascii="PT Astra Serif" w:hAnsi="PT Astra Serif" w:cs="Times New Roman"/>
          <w:bCs/>
          <w:sz w:val="28"/>
          <w:szCs w:val="28"/>
          <w:lang w:val="en-US"/>
        </w:rPr>
        <w:t>CRM</w:t>
      </w:r>
      <w:r w:rsidR="00886E16" w:rsidRPr="0010377A">
        <w:rPr>
          <w:rFonts w:ascii="PT Astra Serif" w:hAnsi="PT Astra Serif" w:cs="Times New Roman"/>
          <w:bCs/>
          <w:sz w:val="28"/>
          <w:szCs w:val="28"/>
        </w:rPr>
        <w:t>-система «</w:t>
      </w:r>
      <w:r w:rsidR="00886E16" w:rsidRPr="0010377A">
        <w:rPr>
          <w:rFonts w:ascii="PT Astra Serif" w:hAnsi="PT Astra Serif" w:cs="Times New Roman"/>
          <w:bCs/>
          <w:sz w:val="28"/>
          <w:szCs w:val="28"/>
          <w:lang w:val="en-US"/>
        </w:rPr>
        <w:t>UGRA</w:t>
      </w:r>
      <w:r w:rsidR="00886E16" w:rsidRPr="0010377A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886E16" w:rsidRPr="0010377A">
        <w:rPr>
          <w:rFonts w:ascii="PT Astra Serif" w:hAnsi="PT Astra Serif" w:cs="Times New Roman"/>
          <w:bCs/>
          <w:sz w:val="28"/>
          <w:szCs w:val="28"/>
          <w:lang w:val="en-US"/>
        </w:rPr>
        <w:t>OPEN</w:t>
      </w:r>
      <w:r w:rsidR="00886E16" w:rsidRPr="0010377A">
        <w:rPr>
          <w:rFonts w:ascii="PT Astra Serif" w:hAnsi="PT Astra Serif" w:cs="Times New Roman"/>
          <w:bCs/>
          <w:sz w:val="28"/>
          <w:szCs w:val="28"/>
        </w:rPr>
        <w:t>»</w:t>
      </w:r>
      <w:r w:rsidR="00A173B4" w:rsidRPr="0010377A">
        <w:rPr>
          <w:rFonts w:ascii="PT Astra Serif" w:hAnsi="PT Astra Serif" w:cs="Times New Roman"/>
          <w:bCs/>
          <w:sz w:val="28"/>
          <w:szCs w:val="28"/>
        </w:rPr>
        <w:t>;</w:t>
      </w:r>
    </w:p>
    <w:p w14:paraId="580044DA" w14:textId="6C577480" w:rsidR="00A173B4" w:rsidRPr="0010377A" w:rsidRDefault="00A173B4" w:rsidP="007F53DD">
      <w:pPr>
        <w:pStyle w:val="a3"/>
        <w:numPr>
          <w:ilvl w:val="0"/>
          <w:numId w:val="3"/>
        </w:numPr>
        <w:tabs>
          <w:tab w:val="left" w:pos="1134"/>
        </w:tabs>
        <w:spacing w:after="12" w:line="360" w:lineRule="auto"/>
        <w:ind w:left="0" w:firstLine="709"/>
        <w:contextualSpacing w:val="0"/>
        <w:jc w:val="both"/>
        <w:outlineLvl w:val="1"/>
        <w:rPr>
          <w:rFonts w:ascii="PT Astra Serif" w:hAnsi="PT Astra Serif" w:cs="Times New Roman"/>
          <w:bCs/>
          <w:sz w:val="28"/>
          <w:szCs w:val="28"/>
        </w:rPr>
      </w:pPr>
      <w:r w:rsidRPr="0010377A">
        <w:rPr>
          <w:rFonts w:ascii="PT Astra Serif" w:hAnsi="PT Astra Serif" w:cs="Times New Roman"/>
          <w:bCs/>
          <w:sz w:val="28"/>
          <w:szCs w:val="28"/>
        </w:rPr>
        <w:t>Финансовая поддержка инвестиционных проектов</w:t>
      </w:r>
      <w:r w:rsidR="00886E16" w:rsidRPr="0010377A">
        <w:rPr>
          <w:rFonts w:ascii="PT Astra Serif" w:hAnsi="PT Astra Serif" w:cs="Times New Roman"/>
          <w:bCs/>
          <w:sz w:val="28"/>
          <w:szCs w:val="28"/>
        </w:rPr>
        <w:t xml:space="preserve"> (льготное финансирование, венчурное финансирование)</w:t>
      </w:r>
      <w:r w:rsidRPr="0010377A">
        <w:rPr>
          <w:rFonts w:ascii="PT Astra Serif" w:hAnsi="PT Astra Serif" w:cs="Times New Roman"/>
          <w:bCs/>
          <w:sz w:val="28"/>
          <w:szCs w:val="28"/>
        </w:rPr>
        <w:t>;</w:t>
      </w:r>
    </w:p>
    <w:p w14:paraId="64CDF5EC" w14:textId="661FBC0F" w:rsidR="002339BC" w:rsidRPr="0010377A" w:rsidRDefault="002339BC" w:rsidP="007F53DD">
      <w:pPr>
        <w:pStyle w:val="a3"/>
        <w:numPr>
          <w:ilvl w:val="0"/>
          <w:numId w:val="3"/>
        </w:numPr>
        <w:tabs>
          <w:tab w:val="left" w:pos="1134"/>
        </w:tabs>
        <w:spacing w:after="12" w:line="360" w:lineRule="auto"/>
        <w:ind w:left="0" w:firstLine="709"/>
        <w:contextualSpacing w:val="0"/>
        <w:jc w:val="both"/>
        <w:outlineLvl w:val="1"/>
        <w:rPr>
          <w:rFonts w:ascii="PT Astra Serif" w:hAnsi="PT Astra Serif" w:cs="Times New Roman"/>
          <w:bCs/>
          <w:sz w:val="28"/>
          <w:szCs w:val="28"/>
        </w:rPr>
      </w:pPr>
      <w:r w:rsidRPr="0010377A">
        <w:rPr>
          <w:rFonts w:ascii="PT Astra Serif" w:hAnsi="PT Astra Serif" w:cs="Times New Roman"/>
          <w:bCs/>
          <w:sz w:val="28"/>
          <w:szCs w:val="28"/>
        </w:rPr>
        <w:t>Развитие промышленной инфраструктуры с особыми условиями ведения предпринимательской деятельности</w:t>
      </w:r>
      <w:r w:rsidR="00886E16" w:rsidRPr="0010377A">
        <w:rPr>
          <w:rFonts w:ascii="PT Astra Serif" w:hAnsi="PT Astra Serif" w:cs="Times New Roman"/>
          <w:bCs/>
          <w:sz w:val="28"/>
          <w:szCs w:val="28"/>
        </w:rPr>
        <w:t xml:space="preserve"> (индустриальные парки/технопарки, особая экономическая зона)</w:t>
      </w:r>
      <w:r w:rsidRPr="0010377A">
        <w:rPr>
          <w:rFonts w:ascii="PT Astra Serif" w:hAnsi="PT Astra Serif" w:cs="Times New Roman"/>
          <w:bCs/>
          <w:sz w:val="28"/>
          <w:szCs w:val="28"/>
        </w:rPr>
        <w:t>;</w:t>
      </w:r>
    </w:p>
    <w:p w14:paraId="5D886743" w14:textId="33B6C3AC" w:rsidR="00A173B4" w:rsidRPr="0010377A" w:rsidRDefault="00A173B4" w:rsidP="007F53DD">
      <w:pPr>
        <w:pStyle w:val="a3"/>
        <w:numPr>
          <w:ilvl w:val="0"/>
          <w:numId w:val="3"/>
        </w:numPr>
        <w:tabs>
          <w:tab w:val="left" w:pos="1134"/>
        </w:tabs>
        <w:spacing w:after="12" w:line="360" w:lineRule="auto"/>
        <w:ind w:left="0" w:firstLine="709"/>
        <w:contextualSpacing w:val="0"/>
        <w:jc w:val="both"/>
        <w:outlineLvl w:val="1"/>
        <w:rPr>
          <w:rFonts w:ascii="PT Astra Serif" w:hAnsi="PT Astra Serif" w:cs="Times New Roman"/>
          <w:bCs/>
          <w:sz w:val="28"/>
          <w:szCs w:val="28"/>
        </w:rPr>
      </w:pPr>
      <w:r w:rsidRPr="0010377A">
        <w:rPr>
          <w:rFonts w:ascii="PT Astra Serif" w:hAnsi="PT Astra Serif" w:cs="Times New Roman"/>
          <w:bCs/>
          <w:sz w:val="28"/>
          <w:szCs w:val="28"/>
        </w:rPr>
        <w:t>Участие в создании инженерной, производственной, транспортной, информационной и туристической инфраструктуры;</w:t>
      </w:r>
    </w:p>
    <w:p w14:paraId="5A9F54CA" w14:textId="118A10D2" w:rsidR="00AF234B" w:rsidRPr="0010377A" w:rsidRDefault="00A173B4" w:rsidP="007F53DD">
      <w:pPr>
        <w:pStyle w:val="a3"/>
        <w:numPr>
          <w:ilvl w:val="0"/>
          <w:numId w:val="3"/>
        </w:numPr>
        <w:tabs>
          <w:tab w:val="left" w:pos="1134"/>
        </w:tabs>
        <w:spacing w:after="120" w:line="36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10377A">
        <w:rPr>
          <w:rFonts w:ascii="PT Astra Serif" w:hAnsi="PT Astra Serif" w:cs="Times New Roman"/>
          <w:bCs/>
          <w:sz w:val="28"/>
          <w:szCs w:val="28"/>
        </w:rPr>
        <w:t>Формирование команды региона в сфере привлечения инвестиций и работ</w:t>
      </w:r>
      <w:r w:rsidR="00886E16" w:rsidRPr="0010377A">
        <w:rPr>
          <w:rFonts w:ascii="PT Astra Serif" w:hAnsi="PT Astra Serif" w:cs="Times New Roman"/>
          <w:bCs/>
          <w:sz w:val="28"/>
          <w:szCs w:val="28"/>
        </w:rPr>
        <w:t>ы</w:t>
      </w:r>
      <w:r w:rsidRPr="0010377A">
        <w:rPr>
          <w:rFonts w:ascii="PT Astra Serif" w:hAnsi="PT Astra Serif" w:cs="Times New Roman"/>
          <w:bCs/>
          <w:sz w:val="28"/>
          <w:szCs w:val="28"/>
        </w:rPr>
        <w:t xml:space="preserve"> с инвесторами.</w:t>
      </w:r>
      <w:r w:rsidRPr="0010377A">
        <w:rPr>
          <w:rFonts w:ascii="PT Astra Serif" w:hAnsi="PT Astra Serif" w:cs="Times New Roman"/>
          <w:sz w:val="28"/>
          <w:szCs w:val="28"/>
        </w:rPr>
        <w:t xml:space="preserve"> </w:t>
      </w:r>
    </w:p>
    <w:sectPr w:rsidR="00AF234B" w:rsidRPr="0010377A" w:rsidSect="004F647F">
      <w:headerReference w:type="default" r:id="rId10"/>
      <w:foot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D475E" w14:textId="77777777" w:rsidR="00F54D55" w:rsidRDefault="00F54D55" w:rsidP="00C52367">
      <w:pPr>
        <w:spacing w:after="0" w:line="240" w:lineRule="auto"/>
      </w:pPr>
      <w:r>
        <w:separator/>
      </w:r>
    </w:p>
  </w:endnote>
  <w:endnote w:type="continuationSeparator" w:id="0">
    <w:p w14:paraId="39674760" w14:textId="77777777" w:rsidR="00F54D55" w:rsidRDefault="00F54D55" w:rsidP="00C52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1538020"/>
      <w:docPartObj>
        <w:docPartGallery w:val="Page Numbers (Bottom of Page)"/>
        <w:docPartUnique/>
      </w:docPartObj>
    </w:sdtPr>
    <w:sdtEndPr/>
    <w:sdtContent>
      <w:p w14:paraId="2ED373AE" w14:textId="69BAE602" w:rsidR="00CE24CC" w:rsidRDefault="00CE24C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5FCD">
          <w:rPr>
            <w:noProof/>
          </w:rPr>
          <w:t>4</w:t>
        </w:r>
        <w:r>
          <w:fldChar w:fldCharType="end"/>
        </w:r>
      </w:p>
    </w:sdtContent>
  </w:sdt>
  <w:p w14:paraId="5A797D43" w14:textId="77777777" w:rsidR="00CE24CC" w:rsidRDefault="00CE24C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90E13" w14:textId="77777777" w:rsidR="00F54D55" w:rsidRDefault="00F54D55" w:rsidP="00C52367">
      <w:pPr>
        <w:spacing w:after="0" w:line="240" w:lineRule="auto"/>
      </w:pPr>
      <w:r>
        <w:separator/>
      </w:r>
    </w:p>
  </w:footnote>
  <w:footnote w:type="continuationSeparator" w:id="0">
    <w:p w14:paraId="29425F64" w14:textId="77777777" w:rsidR="00F54D55" w:rsidRDefault="00F54D55" w:rsidP="00C52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2D805" w14:textId="63B018A0" w:rsidR="00C52367" w:rsidRDefault="00C52367" w:rsidP="00CE24CC">
    <w:pPr>
      <w:pStyle w:val="a4"/>
    </w:pPr>
  </w:p>
  <w:p w14:paraId="45BE7150" w14:textId="77777777" w:rsidR="00C52367" w:rsidRDefault="00C5236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353E8"/>
    <w:multiLevelType w:val="hybridMultilevel"/>
    <w:tmpl w:val="45F8C4CA"/>
    <w:lvl w:ilvl="0" w:tplc="B31839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1F62300"/>
    <w:multiLevelType w:val="hybridMultilevel"/>
    <w:tmpl w:val="C0701BB2"/>
    <w:lvl w:ilvl="0" w:tplc="24C4F320">
      <w:start w:val="1"/>
      <w:numFmt w:val="bullet"/>
      <w:lvlText w:val=""/>
      <w:lvlJc w:val="left"/>
      <w:pPr>
        <w:ind w:left="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2" w15:restartNumberingAfterBreak="0">
    <w:nsid w:val="2F26754B"/>
    <w:multiLevelType w:val="multilevel"/>
    <w:tmpl w:val="60309B7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hint="default"/>
      </w:rPr>
    </w:lvl>
  </w:abstractNum>
  <w:abstractNum w:abstractNumId="3" w15:restartNumberingAfterBreak="0">
    <w:nsid w:val="33BD08E9"/>
    <w:multiLevelType w:val="hybridMultilevel"/>
    <w:tmpl w:val="19DEBCAC"/>
    <w:lvl w:ilvl="0" w:tplc="B3183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B61852"/>
    <w:multiLevelType w:val="hybridMultilevel"/>
    <w:tmpl w:val="4A980BEA"/>
    <w:lvl w:ilvl="0" w:tplc="DE5889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DB10CF"/>
    <w:multiLevelType w:val="hybridMultilevel"/>
    <w:tmpl w:val="136C87B8"/>
    <w:lvl w:ilvl="0" w:tplc="C2FCE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880CC7"/>
    <w:multiLevelType w:val="hybridMultilevel"/>
    <w:tmpl w:val="34B458B6"/>
    <w:lvl w:ilvl="0" w:tplc="B3183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67521875">
    <w:abstractNumId w:val="4"/>
  </w:num>
  <w:num w:numId="2" w16cid:durableId="1363822249">
    <w:abstractNumId w:val="1"/>
  </w:num>
  <w:num w:numId="3" w16cid:durableId="1771077091">
    <w:abstractNumId w:val="5"/>
  </w:num>
  <w:num w:numId="4" w16cid:durableId="1251738525">
    <w:abstractNumId w:val="6"/>
  </w:num>
  <w:num w:numId="5" w16cid:durableId="1210067363">
    <w:abstractNumId w:val="2"/>
  </w:num>
  <w:num w:numId="6" w16cid:durableId="865796889">
    <w:abstractNumId w:val="0"/>
  </w:num>
  <w:num w:numId="7" w16cid:durableId="1460612269">
    <w:abstractNumId w:val="3"/>
  </w:num>
  <w:num w:numId="8" w16cid:durableId="270630220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45228679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690"/>
    <w:rsid w:val="00022177"/>
    <w:rsid w:val="00026A05"/>
    <w:rsid w:val="00031689"/>
    <w:rsid w:val="0004547E"/>
    <w:rsid w:val="00047D03"/>
    <w:rsid w:val="000543EC"/>
    <w:rsid w:val="00054BA6"/>
    <w:rsid w:val="00064AD7"/>
    <w:rsid w:val="000A5516"/>
    <w:rsid w:val="000B503E"/>
    <w:rsid w:val="000C0728"/>
    <w:rsid w:val="000C1BE1"/>
    <w:rsid w:val="000C1C04"/>
    <w:rsid w:val="000C5121"/>
    <w:rsid w:val="000E1909"/>
    <w:rsid w:val="000F44EB"/>
    <w:rsid w:val="0010377A"/>
    <w:rsid w:val="00104EC3"/>
    <w:rsid w:val="00110E63"/>
    <w:rsid w:val="00122AAF"/>
    <w:rsid w:val="001552FC"/>
    <w:rsid w:val="00162600"/>
    <w:rsid w:val="00165D19"/>
    <w:rsid w:val="00177130"/>
    <w:rsid w:val="001805C1"/>
    <w:rsid w:val="0018081A"/>
    <w:rsid w:val="00193E00"/>
    <w:rsid w:val="001A57FE"/>
    <w:rsid w:val="001B1402"/>
    <w:rsid w:val="001F4C98"/>
    <w:rsid w:val="00205169"/>
    <w:rsid w:val="00210FDE"/>
    <w:rsid w:val="00211C84"/>
    <w:rsid w:val="002128FE"/>
    <w:rsid w:val="00224B8C"/>
    <w:rsid w:val="00230C7B"/>
    <w:rsid w:val="00233819"/>
    <w:rsid w:val="002339BC"/>
    <w:rsid w:val="00240594"/>
    <w:rsid w:val="002467B9"/>
    <w:rsid w:val="002756EC"/>
    <w:rsid w:val="00275C1E"/>
    <w:rsid w:val="00282818"/>
    <w:rsid w:val="0029254A"/>
    <w:rsid w:val="002B293C"/>
    <w:rsid w:val="002C48B2"/>
    <w:rsid w:val="002C4BA9"/>
    <w:rsid w:val="002C768C"/>
    <w:rsid w:val="002D7384"/>
    <w:rsid w:val="002D7552"/>
    <w:rsid w:val="002E0B8B"/>
    <w:rsid w:val="00305E7A"/>
    <w:rsid w:val="00310E10"/>
    <w:rsid w:val="00310EAF"/>
    <w:rsid w:val="003446AD"/>
    <w:rsid w:val="0034511C"/>
    <w:rsid w:val="003562B8"/>
    <w:rsid w:val="003654C7"/>
    <w:rsid w:val="003779F0"/>
    <w:rsid w:val="0038008E"/>
    <w:rsid w:val="00395AE5"/>
    <w:rsid w:val="003A0AEA"/>
    <w:rsid w:val="003A15F5"/>
    <w:rsid w:val="003A23D5"/>
    <w:rsid w:val="003A6B48"/>
    <w:rsid w:val="003C1690"/>
    <w:rsid w:val="003C2E6B"/>
    <w:rsid w:val="003C70A3"/>
    <w:rsid w:val="003D29AD"/>
    <w:rsid w:val="003D5413"/>
    <w:rsid w:val="003F1C7E"/>
    <w:rsid w:val="003F5C58"/>
    <w:rsid w:val="003F6AE7"/>
    <w:rsid w:val="00404A75"/>
    <w:rsid w:val="00406D1B"/>
    <w:rsid w:val="00414833"/>
    <w:rsid w:val="004219F7"/>
    <w:rsid w:val="00426CCB"/>
    <w:rsid w:val="0043188E"/>
    <w:rsid w:val="00431EE8"/>
    <w:rsid w:val="00433DD7"/>
    <w:rsid w:val="00436678"/>
    <w:rsid w:val="00443ACF"/>
    <w:rsid w:val="00451556"/>
    <w:rsid w:val="004610DE"/>
    <w:rsid w:val="004E003A"/>
    <w:rsid w:val="004E775F"/>
    <w:rsid w:val="004F26FD"/>
    <w:rsid w:val="004F647F"/>
    <w:rsid w:val="00512ACF"/>
    <w:rsid w:val="0052129E"/>
    <w:rsid w:val="00532CDB"/>
    <w:rsid w:val="00535310"/>
    <w:rsid w:val="00537847"/>
    <w:rsid w:val="00550F67"/>
    <w:rsid w:val="00563D2A"/>
    <w:rsid w:val="0056746D"/>
    <w:rsid w:val="00572377"/>
    <w:rsid w:val="00581AD3"/>
    <w:rsid w:val="0059338F"/>
    <w:rsid w:val="005A28B2"/>
    <w:rsid w:val="005A6248"/>
    <w:rsid w:val="005C4755"/>
    <w:rsid w:val="005D36FF"/>
    <w:rsid w:val="005E0A78"/>
    <w:rsid w:val="005F0324"/>
    <w:rsid w:val="005F234A"/>
    <w:rsid w:val="005F6FB5"/>
    <w:rsid w:val="006007B0"/>
    <w:rsid w:val="00615375"/>
    <w:rsid w:val="00622400"/>
    <w:rsid w:val="00622549"/>
    <w:rsid w:val="00655350"/>
    <w:rsid w:val="00660B09"/>
    <w:rsid w:val="00663520"/>
    <w:rsid w:val="00663DE8"/>
    <w:rsid w:val="0066638B"/>
    <w:rsid w:val="00671477"/>
    <w:rsid w:val="00676762"/>
    <w:rsid w:val="00690E4B"/>
    <w:rsid w:val="00697205"/>
    <w:rsid w:val="006A6DF4"/>
    <w:rsid w:val="006A78F2"/>
    <w:rsid w:val="006C58AC"/>
    <w:rsid w:val="006E5D48"/>
    <w:rsid w:val="006F2A81"/>
    <w:rsid w:val="00713C90"/>
    <w:rsid w:val="00716D48"/>
    <w:rsid w:val="00717FC3"/>
    <w:rsid w:val="00721CF5"/>
    <w:rsid w:val="00724D12"/>
    <w:rsid w:val="00727A39"/>
    <w:rsid w:val="007331DC"/>
    <w:rsid w:val="00743D67"/>
    <w:rsid w:val="007514BE"/>
    <w:rsid w:val="0077718A"/>
    <w:rsid w:val="007772D3"/>
    <w:rsid w:val="00797E59"/>
    <w:rsid w:val="007A0F58"/>
    <w:rsid w:val="007A341E"/>
    <w:rsid w:val="007B224E"/>
    <w:rsid w:val="007B529F"/>
    <w:rsid w:val="007E14CC"/>
    <w:rsid w:val="007F53DD"/>
    <w:rsid w:val="008037FE"/>
    <w:rsid w:val="008067EB"/>
    <w:rsid w:val="00813477"/>
    <w:rsid w:val="008167E6"/>
    <w:rsid w:val="00821B67"/>
    <w:rsid w:val="008255F8"/>
    <w:rsid w:val="008314E8"/>
    <w:rsid w:val="008339BD"/>
    <w:rsid w:val="00844830"/>
    <w:rsid w:val="00853222"/>
    <w:rsid w:val="008549EB"/>
    <w:rsid w:val="008573D3"/>
    <w:rsid w:val="00862BDB"/>
    <w:rsid w:val="008654BC"/>
    <w:rsid w:val="0086627E"/>
    <w:rsid w:val="00870B63"/>
    <w:rsid w:val="00876226"/>
    <w:rsid w:val="008843D2"/>
    <w:rsid w:val="00884EA0"/>
    <w:rsid w:val="00886E16"/>
    <w:rsid w:val="008A6204"/>
    <w:rsid w:val="008B68D8"/>
    <w:rsid w:val="008B73C9"/>
    <w:rsid w:val="008C7602"/>
    <w:rsid w:val="008E20CC"/>
    <w:rsid w:val="008E3088"/>
    <w:rsid w:val="008E6B5F"/>
    <w:rsid w:val="008E6C9F"/>
    <w:rsid w:val="009046FC"/>
    <w:rsid w:val="009222AB"/>
    <w:rsid w:val="00924273"/>
    <w:rsid w:val="0095745A"/>
    <w:rsid w:val="0096025A"/>
    <w:rsid w:val="0098148D"/>
    <w:rsid w:val="00982F79"/>
    <w:rsid w:val="00991F1C"/>
    <w:rsid w:val="009942D0"/>
    <w:rsid w:val="009957D3"/>
    <w:rsid w:val="00995B47"/>
    <w:rsid w:val="009B28F9"/>
    <w:rsid w:val="009B5DA6"/>
    <w:rsid w:val="009D14D6"/>
    <w:rsid w:val="009D3F92"/>
    <w:rsid w:val="009E16C8"/>
    <w:rsid w:val="009E2415"/>
    <w:rsid w:val="009F2FB2"/>
    <w:rsid w:val="009F7F9D"/>
    <w:rsid w:val="00A07035"/>
    <w:rsid w:val="00A13B7E"/>
    <w:rsid w:val="00A173B4"/>
    <w:rsid w:val="00A360FE"/>
    <w:rsid w:val="00A370A3"/>
    <w:rsid w:val="00A37C32"/>
    <w:rsid w:val="00A41D15"/>
    <w:rsid w:val="00A570FE"/>
    <w:rsid w:val="00A72186"/>
    <w:rsid w:val="00A81E9A"/>
    <w:rsid w:val="00A9074D"/>
    <w:rsid w:val="00A96457"/>
    <w:rsid w:val="00AA4C1D"/>
    <w:rsid w:val="00AA7DDF"/>
    <w:rsid w:val="00AB1080"/>
    <w:rsid w:val="00AE174B"/>
    <w:rsid w:val="00AF234B"/>
    <w:rsid w:val="00AF33B1"/>
    <w:rsid w:val="00B0100B"/>
    <w:rsid w:val="00B20A38"/>
    <w:rsid w:val="00B243F1"/>
    <w:rsid w:val="00B251E7"/>
    <w:rsid w:val="00B468C9"/>
    <w:rsid w:val="00B51E9A"/>
    <w:rsid w:val="00B86D59"/>
    <w:rsid w:val="00B8795C"/>
    <w:rsid w:val="00B95CB7"/>
    <w:rsid w:val="00B975EA"/>
    <w:rsid w:val="00BA17C5"/>
    <w:rsid w:val="00BD2A89"/>
    <w:rsid w:val="00BE7CAA"/>
    <w:rsid w:val="00C14BF3"/>
    <w:rsid w:val="00C20107"/>
    <w:rsid w:val="00C44155"/>
    <w:rsid w:val="00C503B8"/>
    <w:rsid w:val="00C52367"/>
    <w:rsid w:val="00C5363E"/>
    <w:rsid w:val="00C56CCA"/>
    <w:rsid w:val="00C72DA5"/>
    <w:rsid w:val="00C758A1"/>
    <w:rsid w:val="00C76002"/>
    <w:rsid w:val="00C85AEB"/>
    <w:rsid w:val="00C95D50"/>
    <w:rsid w:val="00CA2DB0"/>
    <w:rsid w:val="00CA3666"/>
    <w:rsid w:val="00CC37CB"/>
    <w:rsid w:val="00CD3360"/>
    <w:rsid w:val="00CD34D6"/>
    <w:rsid w:val="00CE24CC"/>
    <w:rsid w:val="00CE6814"/>
    <w:rsid w:val="00CF4B25"/>
    <w:rsid w:val="00D05BEC"/>
    <w:rsid w:val="00D15C01"/>
    <w:rsid w:val="00D331EA"/>
    <w:rsid w:val="00D3482D"/>
    <w:rsid w:val="00D36DC1"/>
    <w:rsid w:val="00D46F58"/>
    <w:rsid w:val="00D63FFC"/>
    <w:rsid w:val="00D76A3E"/>
    <w:rsid w:val="00D7713D"/>
    <w:rsid w:val="00D84812"/>
    <w:rsid w:val="00DA2978"/>
    <w:rsid w:val="00DA37F6"/>
    <w:rsid w:val="00DB463E"/>
    <w:rsid w:val="00DD1106"/>
    <w:rsid w:val="00DE2A94"/>
    <w:rsid w:val="00DF7519"/>
    <w:rsid w:val="00E2013F"/>
    <w:rsid w:val="00E23CA9"/>
    <w:rsid w:val="00E31AA0"/>
    <w:rsid w:val="00E6382D"/>
    <w:rsid w:val="00E67C7F"/>
    <w:rsid w:val="00E71BDD"/>
    <w:rsid w:val="00E774DA"/>
    <w:rsid w:val="00E846FA"/>
    <w:rsid w:val="00E848F9"/>
    <w:rsid w:val="00E87E92"/>
    <w:rsid w:val="00E909E8"/>
    <w:rsid w:val="00E96D08"/>
    <w:rsid w:val="00EA5176"/>
    <w:rsid w:val="00EA76E8"/>
    <w:rsid w:val="00EB7B58"/>
    <w:rsid w:val="00EC0111"/>
    <w:rsid w:val="00EF0C5C"/>
    <w:rsid w:val="00F04B4F"/>
    <w:rsid w:val="00F068B8"/>
    <w:rsid w:val="00F35886"/>
    <w:rsid w:val="00F54D55"/>
    <w:rsid w:val="00F60AF6"/>
    <w:rsid w:val="00F743D4"/>
    <w:rsid w:val="00F91B9A"/>
    <w:rsid w:val="00F925EF"/>
    <w:rsid w:val="00F96093"/>
    <w:rsid w:val="00FA37A9"/>
    <w:rsid w:val="00FB5454"/>
    <w:rsid w:val="00FC068F"/>
    <w:rsid w:val="00FC5FCD"/>
    <w:rsid w:val="00FC6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D5C2A9"/>
  <w15:docId w15:val="{230ABFBE-A85D-4CF3-A0B9-A95F3E1B6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6F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6F5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52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52367"/>
  </w:style>
  <w:style w:type="paragraph" w:styleId="a6">
    <w:name w:val="footer"/>
    <w:basedOn w:val="a"/>
    <w:link w:val="a7"/>
    <w:uiPriority w:val="99"/>
    <w:unhideWhenUsed/>
    <w:rsid w:val="00C52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52367"/>
  </w:style>
  <w:style w:type="paragraph" w:styleId="a8">
    <w:name w:val="Balloon Text"/>
    <w:basedOn w:val="a"/>
    <w:link w:val="a9"/>
    <w:uiPriority w:val="99"/>
    <w:semiHidden/>
    <w:unhideWhenUsed/>
    <w:rsid w:val="001B14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B1402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0C0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0C0728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8B68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e"/>
    <w:qFormat/>
    <w:rsid w:val="00D05BEC"/>
    <w:pPr>
      <w:spacing w:after="0" w:line="240" w:lineRule="auto"/>
    </w:pPr>
  </w:style>
  <w:style w:type="character" w:customStyle="1" w:styleId="ae">
    <w:name w:val="Без интервала Знак"/>
    <w:link w:val="ad"/>
    <w:uiPriority w:val="1"/>
    <w:locked/>
    <w:rsid w:val="00D05BEC"/>
  </w:style>
  <w:style w:type="paragraph" w:customStyle="1" w:styleId="Default">
    <w:name w:val="Default"/>
    <w:rsid w:val="00DD1106"/>
    <w:pPr>
      <w:autoSpaceDE w:val="0"/>
      <w:autoSpaceDN w:val="0"/>
      <w:adjustRightInd w:val="0"/>
      <w:spacing w:after="0" w:line="240" w:lineRule="auto"/>
    </w:pPr>
    <w:rPr>
      <w:rFonts w:ascii="PT Astra Serif" w:hAnsi="PT Astra Serif" w:cs="PT Astra Serif"/>
      <w:color w:val="000000"/>
      <w:sz w:val="24"/>
      <w:szCs w:val="24"/>
    </w:rPr>
  </w:style>
  <w:style w:type="paragraph" w:customStyle="1" w:styleId="font8">
    <w:name w:val="font_8"/>
    <w:basedOn w:val="a"/>
    <w:rsid w:val="00B95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Revision"/>
    <w:hidden/>
    <w:uiPriority w:val="99"/>
    <w:semiHidden/>
    <w:rsid w:val="0077718A"/>
    <w:pPr>
      <w:spacing w:after="0" w:line="240" w:lineRule="auto"/>
    </w:pPr>
  </w:style>
  <w:style w:type="character" w:customStyle="1" w:styleId="jsgrdq">
    <w:name w:val="jsgrdq"/>
    <w:basedOn w:val="a0"/>
    <w:rsid w:val="008167E6"/>
  </w:style>
  <w:style w:type="character" w:customStyle="1" w:styleId="1">
    <w:name w:val="Неразрешенное упоминание1"/>
    <w:basedOn w:val="a0"/>
    <w:uiPriority w:val="99"/>
    <w:semiHidden/>
    <w:unhideWhenUsed/>
    <w:rsid w:val="00F60AF6"/>
    <w:rPr>
      <w:color w:val="605E5C"/>
      <w:shd w:val="clear" w:color="auto" w:fill="E1DFDD"/>
    </w:rPr>
  </w:style>
  <w:style w:type="character" w:customStyle="1" w:styleId="BoldText">
    <w:name w:val="BoldText"/>
    <w:basedOn w:val="a0"/>
    <w:uiPriority w:val="15"/>
    <w:qFormat/>
    <w:rsid w:val="008067EB"/>
    <w:rPr>
      <w:b/>
    </w:rPr>
  </w:style>
  <w:style w:type="character" w:customStyle="1" w:styleId="msoins0">
    <w:name w:val="msoins"/>
    <w:basedOn w:val="a0"/>
    <w:rsid w:val="00535310"/>
    <w:rPr>
      <w:color w:val="008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322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17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83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16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15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63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9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ity.russia.travel/auto/hma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vmeste.wildberries.ru/adventure/regions/khanty-mansiiskii_avtonomnyi_okrug_-_iugra_83_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6ACE1-3013-4855-A497-47D1B6BB7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4267</Words>
  <Characters>24323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f24</dc:creator>
  <cp:lastModifiedBy>f41</cp:lastModifiedBy>
  <cp:revision>4</cp:revision>
  <cp:lastPrinted>2021-03-04T12:04:00Z</cp:lastPrinted>
  <dcterms:created xsi:type="dcterms:W3CDTF">2023-03-24T05:12:00Z</dcterms:created>
  <dcterms:modified xsi:type="dcterms:W3CDTF">2023-03-24T10:29:00Z</dcterms:modified>
</cp:coreProperties>
</file>